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default" w:ascii="华文中宋" w:hAnsi="华文中宋" w:eastAsia="华文中宋"/>
          <w:sz w:val="30"/>
          <w:szCs w:val="30"/>
          <w:lang w:val="en-US" w:eastAsia="zh-CN"/>
        </w:rPr>
      </w:pPr>
      <w:r>
        <w:rPr>
          <w:rFonts w:ascii="华文中宋" w:hAnsi="华文中宋" w:eastAsia="华文中宋"/>
          <w:sz w:val="30"/>
          <w:szCs w:val="30"/>
        </w:rPr>
        <w:drawing>
          <wp:inline distT="0" distB="0" distL="114300" distR="114300">
            <wp:extent cx="1228725" cy="61912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228725" cy="619125"/>
                    </a:xfrm>
                    <a:prstGeom prst="rect">
                      <a:avLst/>
                    </a:prstGeom>
                    <a:noFill/>
                    <a:ln>
                      <a:noFill/>
                    </a:ln>
                  </pic:spPr>
                </pic:pic>
              </a:graphicData>
            </a:graphic>
          </wp:inline>
        </w:drawing>
      </w:r>
      <w:r>
        <w:rPr>
          <w:rFonts w:hint="eastAsia" w:ascii="华文中宋" w:hAnsi="华文中宋" w:eastAsia="华文中宋"/>
          <w:sz w:val="30"/>
          <w:szCs w:val="30"/>
        </w:rPr>
        <w:t xml:space="preserve"> </w:t>
      </w:r>
      <w:r>
        <w:rPr>
          <w:rFonts w:ascii="华文中宋" w:hAnsi="华文中宋" w:eastAsia="华文中宋"/>
          <w:sz w:val="30"/>
          <w:szCs w:val="30"/>
        </w:rPr>
        <w:t xml:space="preserve">                  </w:t>
      </w:r>
      <w:r>
        <w:rPr>
          <w:rFonts w:hint="eastAsia" w:ascii="华文中宋" w:hAnsi="华文中宋" w:eastAsia="华文中宋"/>
          <w:sz w:val="30"/>
          <w:szCs w:val="30"/>
        </w:rPr>
        <w:t>版本：</w:t>
      </w:r>
      <w:r>
        <w:rPr>
          <w:rFonts w:ascii="华文中宋" w:hAnsi="华文中宋" w:eastAsia="华文中宋"/>
          <w:sz w:val="30"/>
          <w:szCs w:val="30"/>
        </w:rPr>
        <w:t xml:space="preserve"> </w:t>
      </w:r>
      <w:r>
        <w:rPr>
          <w:rFonts w:hint="eastAsia" w:ascii="华文中宋" w:hAnsi="华文中宋" w:eastAsia="华文中宋"/>
          <w:sz w:val="30"/>
          <w:szCs w:val="30"/>
          <w:lang w:val="en-US" w:eastAsia="zh-CN"/>
        </w:rPr>
        <w:t>CP20231228</w:t>
      </w:r>
    </w:p>
    <w:p>
      <w:pPr>
        <w:jc w:val="both"/>
        <w:rPr>
          <w:rFonts w:hint="eastAsia" w:ascii="华文中宋" w:hAnsi="华文中宋" w:eastAsia="华文中宋"/>
          <w:b/>
          <w:sz w:val="44"/>
          <w:szCs w:val="72"/>
          <w:highlight w:val="none"/>
        </w:rPr>
      </w:pPr>
    </w:p>
    <w:p>
      <w:pPr>
        <w:jc w:val="center"/>
        <w:rPr>
          <w:rFonts w:hint="eastAsia"/>
          <w:b/>
          <w:sz w:val="44"/>
          <w:szCs w:val="44"/>
        </w:rPr>
      </w:pPr>
      <w:r>
        <w:rPr>
          <w:rFonts w:hint="eastAsia" w:ascii="华文中宋" w:hAnsi="华文中宋" w:eastAsia="华文中宋"/>
          <w:b/>
          <w:sz w:val="44"/>
          <w:szCs w:val="72"/>
          <w:highlight w:val="none"/>
        </w:rPr>
        <w:t>北京产权交易所</w:t>
      </w:r>
    </w:p>
    <w:p>
      <w:pPr>
        <w:jc w:val="center"/>
        <w:rPr>
          <w:b/>
          <w:sz w:val="44"/>
          <w:szCs w:val="44"/>
        </w:rPr>
      </w:pPr>
      <w:r>
        <w:rPr>
          <w:rFonts w:hint="eastAsia" w:ascii="华文中宋" w:hAnsi="华文中宋" w:eastAsia="华文中宋" w:cs="Times New Roman"/>
          <w:b/>
          <w:sz w:val="44"/>
          <w:szCs w:val="72"/>
          <w:highlight w:val="none"/>
        </w:rPr>
        <w:t>金融债权资产转让信息披露申请书</w:t>
      </w:r>
    </w:p>
    <w:p>
      <w:pPr>
        <w:jc w:val="center"/>
        <w:rPr>
          <w:b/>
          <w:sz w:val="36"/>
          <w:szCs w:val="36"/>
        </w:rPr>
      </w:pPr>
      <w:r>
        <w:rPr>
          <w:rFonts w:hint="eastAsia"/>
          <w:b/>
          <w:sz w:val="36"/>
          <w:szCs w:val="36"/>
        </w:rPr>
        <w:t xml:space="preserve">   </w:t>
      </w:r>
    </w:p>
    <w:p>
      <w:pPr>
        <w:rPr>
          <w:rFonts w:ascii="宋体" w:hAnsi="宋体"/>
          <w:sz w:val="28"/>
          <w:szCs w:val="28"/>
        </w:rPr>
      </w:pPr>
    </w:p>
    <w:p>
      <w:pPr>
        <w:rPr>
          <w:rFonts w:ascii="宋体" w:hAnsi="宋体"/>
          <w:sz w:val="28"/>
          <w:szCs w:val="28"/>
        </w:rPr>
      </w:pPr>
    </w:p>
    <w:p>
      <w:pPr>
        <w:spacing w:line="360" w:lineRule="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标的名称： </w:t>
      </w:r>
    </w:p>
    <w:p>
      <w:pPr>
        <w:pStyle w:val="2"/>
        <w:rPr>
          <w:rFonts w:hint="eastAsia" w:asciiTheme="majorEastAsia" w:hAnsiTheme="majorEastAsia" w:eastAsiaTheme="majorEastAsia" w:cstheme="majorEastAsia"/>
        </w:rPr>
      </w:pPr>
    </w:p>
    <w:p>
      <w:pPr>
        <w:spacing w:line="360" w:lineRule="auto"/>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 xml:space="preserve">申请人：（转让方盖章） </w:t>
      </w:r>
    </w:p>
    <w:p>
      <w:pPr>
        <w:spacing w:line="360" w:lineRule="auto"/>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rPr>
          <w:rFonts w:hint="eastAsia" w:asciiTheme="majorEastAsia" w:hAnsiTheme="majorEastAsia" w:eastAsiaTheme="majorEastAsia" w:cstheme="majorEastAsia"/>
          <w:sz w:val="30"/>
          <w:szCs w:val="30"/>
        </w:rPr>
      </w:pPr>
    </w:p>
    <w:p>
      <w:pPr>
        <w:jc w:val="center"/>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申请日期：    年  月  日</w:t>
      </w:r>
    </w:p>
    <w:p>
      <w:pPr>
        <w:adjustRightInd w:val="0"/>
        <w:snapToGrid w:val="0"/>
        <w:spacing w:before="240" w:after="120" w:line="300" w:lineRule="exact"/>
        <w:jc w:val="center"/>
        <w:rPr>
          <w:b/>
          <w:sz w:val="32"/>
          <w:szCs w:val="32"/>
        </w:rPr>
      </w:pPr>
      <w:r>
        <w:rPr>
          <w:rFonts w:hint="eastAsia"/>
          <w:b/>
          <w:sz w:val="32"/>
          <w:szCs w:val="32"/>
        </w:rPr>
        <w:br w:type="page"/>
      </w:r>
      <w:r>
        <w:rPr>
          <w:rFonts w:hint="eastAsia"/>
          <w:b/>
          <w:sz w:val="32"/>
          <w:szCs w:val="32"/>
        </w:rPr>
        <w:t>《金融债权资产转让信息披露申请书》</w:t>
      </w:r>
    </w:p>
    <w:p>
      <w:pPr>
        <w:adjustRightInd w:val="0"/>
        <w:snapToGrid w:val="0"/>
        <w:spacing w:before="240" w:after="120" w:line="300" w:lineRule="exact"/>
        <w:jc w:val="center"/>
        <w:rPr>
          <w:b/>
          <w:sz w:val="32"/>
          <w:szCs w:val="32"/>
        </w:rPr>
      </w:pPr>
      <w:r>
        <w:rPr>
          <w:rFonts w:hint="eastAsia"/>
          <w:b/>
          <w:sz w:val="32"/>
          <w:szCs w:val="32"/>
        </w:rPr>
        <w:t>主要内容填列说明</w:t>
      </w:r>
    </w:p>
    <w:p>
      <w:pPr>
        <w:spacing w:line="300" w:lineRule="exact"/>
        <w:ind w:firstLine="480" w:firstLineChars="200"/>
        <w:rPr>
          <w:sz w:val="24"/>
        </w:rPr>
      </w:pPr>
    </w:p>
    <w:p>
      <w:pPr>
        <w:spacing w:line="300" w:lineRule="exact"/>
        <w:ind w:firstLine="480" w:firstLineChars="200"/>
        <w:rPr>
          <w:rFonts w:hint="default" w:eastAsia="宋体"/>
          <w:sz w:val="24"/>
          <w:lang w:val="en-US" w:eastAsia="zh-CN"/>
        </w:rPr>
      </w:pPr>
      <w:r>
        <w:rPr>
          <w:rFonts w:hint="eastAsia"/>
          <w:sz w:val="24"/>
        </w:rPr>
        <w:t>一、债权资产</w:t>
      </w:r>
      <w:r>
        <w:rPr>
          <w:rFonts w:hint="eastAsia"/>
          <w:sz w:val="24"/>
          <w:lang w:val="en-US" w:eastAsia="zh-CN"/>
        </w:rPr>
        <w:t>基本情况</w:t>
      </w:r>
    </w:p>
    <w:p>
      <w:pPr>
        <w:spacing w:line="300" w:lineRule="exact"/>
        <w:ind w:firstLine="480" w:firstLineChars="200"/>
        <w:rPr>
          <w:sz w:val="24"/>
          <w:szCs w:val="21"/>
        </w:rPr>
      </w:pPr>
      <w:r>
        <w:rPr>
          <w:rFonts w:hint="eastAsia"/>
          <w:sz w:val="24"/>
        </w:rPr>
        <w:t>1、</w:t>
      </w:r>
      <w:r>
        <w:rPr>
          <w:rFonts w:hint="eastAsia"/>
          <w:sz w:val="24"/>
          <w:szCs w:val="21"/>
        </w:rPr>
        <w:t>债权资产标的名称：内文与封面描述保持一致。</w:t>
      </w:r>
    </w:p>
    <w:p>
      <w:pPr>
        <w:spacing w:line="300" w:lineRule="exact"/>
        <w:ind w:firstLine="480" w:firstLineChars="200"/>
        <w:rPr>
          <w:sz w:val="24"/>
          <w:szCs w:val="21"/>
        </w:rPr>
      </w:pPr>
      <w:r>
        <w:rPr>
          <w:rFonts w:hint="eastAsia"/>
          <w:sz w:val="24"/>
          <w:szCs w:val="21"/>
        </w:rPr>
        <w:t>2、债权资产现状：目前债权资产被清收状态，包括但不限于已逾期、已起诉、已进入执行阶段、是否存在抵押质押保证等担保措施。</w:t>
      </w:r>
    </w:p>
    <w:p>
      <w:pPr>
        <w:spacing w:line="300" w:lineRule="exact"/>
        <w:ind w:firstLine="480" w:firstLineChars="200"/>
        <w:rPr>
          <w:sz w:val="24"/>
          <w:szCs w:val="21"/>
        </w:rPr>
      </w:pPr>
      <w:r>
        <w:rPr>
          <w:rFonts w:hint="eastAsia"/>
          <w:sz w:val="24"/>
          <w:szCs w:val="21"/>
        </w:rPr>
        <w:t>3、其他需要披露内容：指转让方认为对债权资产转让需要说明的其他问题，包括资产的重大调整、变化；权利限制状况，如法院冻结、案外人异议等情况；债权债务、风险（重大合同、诉讼仲裁）揭示等。</w:t>
      </w:r>
    </w:p>
    <w:p>
      <w:pPr>
        <w:spacing w:line="300" w:lineRule="exact"/>
        <w:ind w:firstLine="480" w:firstLineChars="200"/>
        <w:rPr>
          <w:rFonts w:hint="eastAsia" w:eastAsia="宋体"/>
          <w:sz w:val="24"/>
          <w:lang w:eastAsia="zh-CN"/>
        </w:rPr>
      </w:pPr>
      <w:r>
        <w:rPr>
          <w:rFonts w:hint="eastAsia"/>
          <w:sz w:val="24"/>
        </w:rPr>
        <w:t>二、转让方</w:t>
      </w:r>
      <w:r>
        <w:rPr>
          <w:rFonts w:hint="eastAsia"/>
          <w:sz w:val="24"/>
          <w:lang w:val="en-US" w:eastAsia="zh-CN"/>
        </w:rPr>
        <w:t>情况</w:t>
      </w:r>
    </w:p>
    <w:p>
      <w:pPr>
        <w:spacing w:line="300" w:lineRule="exact"/>
        <w:ind w:firstLine="480" w:firstLineChars="200"/>
        <w:rPr>
          <w:sz w:val="24"/>
        </w:rPr>
      </w:pPr>
      <w:r>
        <w:rPr>
          <w:rFonts w:hint="eastAsia"/>
          <w:sz w:val="24"/>
        </w:rPr>
        <w:t>1、</w:t>
      </w:r>
      <w:r>
        <w:rPr>
          <w:rFonts w:hint="eastAsia"/>
          <w:sz w:val="24"/>
          <w:lang w:val="en-US" w:eastAsia="zh-CN"/>
        </w:rPr>
        <w:t>注册地（</w:t>
      </w:r>
      <w:r>
        <w:rPr>
          <w:rFonts w:hint="eastAsia"/>
          <w:sz w:val="24"/>
        </w:rPr>
        <w:t>住所</w:t>
      </w:r>
      <w:r>
        <w:rPr>
          <w:rFonts w:hint="eastAsia"/>
          <w:sz w:val="24"/>
          <w:lang w:eastAsia="zh-CN"/>
        </w:rPr>
        <w:t>）</w:t>
      </w:r>
      <w:r>
        <w:rPr>
          <w:rFonts w:hint="eastAsia"/>
          <w:sz w:val="24"/>
        </w:rPr>
        <w:t>、法定代表人</w:t>
      </w:r>
      <w:r>
        <w:rPr>
          <w:rFonts w:hint="eastAsia"/>
          <w:sz w:val="24"/>
          <w:lang w:val="en-US" w:eastAsia="zh-CN"/>
        </w:rPr>
        <w:t>（负责人）</w:t>
      </w:r>
      <w:r>
        <w:rPr>
          <w:rFonts w:hint="eastAsia"/>
          <w:sz w:val="24"/>
        </w:rPr>
        <w:t>、注册资本、</w:t>
      </w:r>
      <w:r>
        <w:rPr>
          <w:rFonts w:hint="eastAsia"/>
          <w:sz w:val="24"/>
          <w:lang w:val="en-US" w:eastAsia="zh-CN"/>
        </w:rPr>
        <w:t>企业类型</w:t>
      </w:r>
      <w:r>
        <w:rPr>
          <w:rFonts w:hint="eastAsia"/>
          <w:sz w:val="24"/>
        </w:rPr>
        <w:t>：按营业执照登记内容填列。</w:t>
      </w:r>
    </w:p>
    <w:p>
      <w:pPr>
        <w:spacing w:line="300" w:lineRule="exact"/>
        <w:ind w:firstLine="480" w:firstLineChars="200"/>
        <w:rPr>
          <w:sz w:val="24"/>
        </w:rPr>
      </w:pPr>
      <w:r>
        <w:rPr>
          <w:rFonts w:hint="eastAsia"/>
          <w:sz w:val="24"/>
        </w:rPr>
        <w:t>2、内部决策情况：指按照法律法规和内部管理制度的要求履行的内部决策情况。</w:t>
      </w:r>
    </w:p>
    <w:p>
      <w:pPr>
        <w:spacing w:line="300" w:lineRule="exact"/>
        <w:ind w:firstLine="480" w:firstLineChars="200"/>
        <w:rPr>
          <w:sz w:val="24"/>
        </w:rPr>
      </w:pPr>
      <w:r>
        <w:rPr>
          <w:rFonts w:hint="eastAsia"/>
          <w:sz w:val="24"/>
        </w:rPr>
        <w:t>三、交易条件与受让方资格条件</w:t>
      </w:r>
    </w:p>
    <w:p>
      <w:pPr>
        <w:spacing w:line="300" w:lineRule="exact"/>
        <w:ind w:firstLine="480" w:firstLineChars="200"/>
        <w:rPr>
          <w:sz w:val="24"/>
        </w:rPr>
      </w:pPr>
      <w:r>
        <w:rPr>
          <w:rFonts w:hint="eastAsia"/>
          <w:sz w:val="24"/>
        </w:rPr>
        <w:t>1、交易条件：指包括价款支付、转让价格等相关交易条件。</w:t>
      </w:r>
    </w:p>
    <w:p>
      <w:pPr>
        <w:spacing w:line="300" w:lineRule="exact"/>
        <w:ind w:firstLine="480" w:firstLineChars="200"/>
        <w:rPr>
          <w:sz w:val="24"/>
        </w:rPr>
      </w:pPr>
      <w:r>
        <w:rPr>
          <w:rFonts w:hint="eastAsia"/>
          <w:sz w:val="24"/>
        </w:rPr>
        <w:t>2、受让方资格条件：指对意向受让方提出的包括财务状况、相关资质等方面的要求，不能具有明确指向性或违反公平竞争的内容，须逐条填列。</w:t>
      </w:r>
    </w:p>
    <w:p>
      <w:pPr>
        <w:spacing w:line="300" w:lineRule="exact"/>
        <w:ind w:firstLine="480" w:firstLineChars="200"/>
        <w:rPr>
          <w:sz w:val="24"/>
        </w:rPr>
      </w:pPr>
      <w:r>
        <w:rPr>
          <w:rFonts w:hint="eastAsia"/>
          <w:sz w:val="24"/>
        </w:rPr>
        <w:t>3、保证金交纳截止时间：需注明交纳的具体截止时间。</w:t>
      </w:r>
    </w:p>
    <w:p>
      <w:pPr>
        <w:spacing w:line="300" w:lineRule="exact"/>
        <w:ind w:firstLine="480" w:firstLineChars="200"/>
        <w:rPr>
          <w:sz w:val="24"/>
        </w:rPr>
      </w:pPr>
      <w:r>
        <w:rPr>
          <w:sz w:val="24"/>
        </w:rPr>
        <w:t>4</w:t>
      </w:r>
      <w:r>
        <w:rPr>
          <w:rFonts w:hint="eastAsia"/>
          <w:sz w:val="24"/>
        </w:rPr>
        <w:t>、保证金交纳金额：一般不超过金融债权资产转让底价的30%。</w:t>
      </w:r>
    </w:p>
    <w:p>
      <w:pPr>
        <w:spacing w:line="300" w:lineRule="exact"/>
        <w:ind w:firstLine="480" w:firstLineChars="200"/>
        <w:rPr>
          <w:rFonts w:hint="default" w:eastAsia="宋体"/>
          <w:sz w:val="24"/>
          <w:lang w:val="en-US" w:eastAsia="zh-CN"/>
        </w:rPr>
      </w:pPr>
      <w:r>
        <w:rPr>
          <w:rFonts w:hint="eastAsia"/>
          <w:sz w:val="24"/>
        </w:rPr>
        <w:t>四、</w:t>
      </w:r>
      <w:r>
        <w:rPr>
          <w:rFonts w:hint="eastAsia"/>
          <w:sz w:val="24"/>
          <w:lang w:val="en-US" w:eastAsia="zh-CN"/>
        </w:rPr>
        <w:t>发布信息</w:t>
      </w:r>
    </w:p>
    <w:p>
      <w:pPr>
        <w:spacing w:line="300" w:lineRule="exact"/>
        <w:ind w:firstLine="480" w:firstLineChars="200"/>
        <w:rPr>
          <w:sz w:val="24"/>
        </w:rPr>
      </w:pPr>
      <w:r>
        <w:rPr>
          <w:rFonts w:hint="eastAsia"/>
          <w:sz w:val="24"/>
        </w:rPr>
        <w:t>信息披露</w:t>
      </w:r>
      <w:r>
        <w:rPr>
          <w:rFonts w:hint="eastAsia"/>
          <w:sz w:val="24"/>
          <w:lang w:val="en-US" w:eastAsia="zh-CN"/>
        </w:rPr>
        <w:t>公告</w:t>
      </w:r>
      <w:r>
        <w:rPr>
          <w:rFonts w:hint="eastAsia"/>
          <w:sz w:val="24"/>
        </w:rPr>
        <w:t>期：是</w:t>
      </w:r>
      <w:r>
        <w:rPr>
          <w:rFonts w:hint="eastAsia"/>
          <w:spacing w:val="-4"/>
          <w:sz w:val="24"/>
        </w:rPr>
        <w:t>指转让信息在北交所网站公开披露的持续时间。信息披露公告时间应</w:t>
      </w:r>
      <w:r>
        <w:rPr>
          <w:rFonts w:hint="eastAsia"/>
          <w:sz w:val="24"/>
        </w:rPr>
        <w:t>不少于</w:t>
      </w:r>
      <w:r>
        <w:rPr>
          <w:sz w:val="24"/>
        </w:rPr>
        <w:t>5</w:t>
      </w:r>
      <w:r>
        <w:rPr>
          <w:rFonts w:hint="eastAsia"/>
          <w:sz w:val="24"/>
        </w:rPr>
        <w:t>个工作日，每次延长期限应当不少于1个工作日。</w:t>
      </w:r>
    </w:p>
    <w:p>
      <w:pPr>
        <w:spacing w:line="300" w:lineRule="exact"/>
        <w:ind w:firstLine="480" w:firstLineChars="200"/>
        <w:rPr>
          <w:sz w:val="24"/>
        </w:rPr>
      </w:pPr>
      <w:r>
        <w:rPr>
          <w:rFonts w:hint="eastAsia"/>
          <w:sz w:val="24"/>
        </w:rPr>
        <w:t>五、表中选择项请在</w:t>
      </w:r>
      <w:r>
        <w:rPr>
          <w:rFonts w:hint="eastAsia" w:ascii="宋体" w:hAnsi="宋体"/>
          <w:sz w:val="24"/>
        </w:rPr>
        <w:t>□</w:t>
      </w:r>
      <w:r>
        <w:rPr>
          <w:rFonts w:hint="eastAsia"/>
          <w:sz w:val="24"/>
        </w:rPr>
        <w:t>内填列</w:t>
      </w:r>
      <w:r>
        <w:rPr>
          <w:rFonts w:hint="eastAsia"/>
          <w:sz w:val="24"/>
          <w:lang w:eastAsia="zh-CN"/>
        </w:rPr>
        <w:t>“</w:t>
      </w:r>
      <w:r>
        <w:rPr>
          <w:rFonts w:hint="eastAsia" w:ascii="宋体" w:hAnsi="宋体" w:cs="宋体"/>
          <w:sz w:val="24"/>
        </w:rPr>
        <w:t>√</w:t>
      </w:r>
      <w:r>
        <w:rPr>
          <w:rFonts w:hint="eastAsia" w:ascii="宋体" w:hAnsi="宋体" w:cs="宋体"/>
          <w:sz w:val="24"/>
          <w:lang w:eastAsia="zh-CN"/>
        </w:rPr>
        <w:t>”</w:t>
      </w:r>
      <w:r>
        <w:rPr>
          <w:rFonts w:hint="eastAsia"/>
          <w:sz w:val="24"/>
        </w:rPr>
        <w:t>或标注。</w:t>
      </w:r>
    </w:p>
    <w:p>
      <w:pPr>
        <w:spacing w:line="300" w:lineRule="exact"/>
        <w:ind w:firstLine="480" w:firstLineChars="200"/>
        <w:rPr>
          <w:bCs/>
          <w:sz w:val="24"/>
        </w:rPr>
      </w:pPr>
      <w:r>
        <w:rPr>
          <w:rFonts w:hint="eastAsia"/>
          <w:bCs/>
          <w:sz w:val="24"/>
        </w:rPr>
        <w:t>六、表中各栏、各项指标内容，务请如实、准确填列。本说明未能解释的栏目，如有疑义，请与北交所工作人员联系，最终解释权归北京产权交易所。</w:t>
      </w:r>
    </w:p>
    <w:p>
      <w:pPr>
        <w:spacing w:line="280" w:lineRule="exact"/>
        <w:rPr>
          <w:sz w:val="24"/>
        </w:rPr>
      </w:pPr>
    </w:p>
    <w:p>
      <w:pPr>
        <w:spacing w:line="280" w:lineRule="exact"/>
        <w:ind w:firstLine="482" w:firstLineChars="200"/>
        <w:rPr>
          <w:b/>
          <w:sz w:val="24"/>
        </w:rPr>
      </w:pPr>
    </w:p>
    <w:p>
      <w:pPr>
        <w:spacing w:line="280" w:lineRule="exact"/>
        <w:ind w:firstLine="482" w:firstLineChars="200"/>
        <w:rPr>
          <w:b/>
          <w:sz w:val="24"/>
        </w:rPr>
      </w:pPr>
    </w:p>
    <w:p>
      <w:pPr>
        <w:spacing w:line="280" w:lineRule="exact"/>
        <w:ind w:firstLine="482" w:firstLineChars="200"/>
        <w:rPr>
          <w:b/>
          <w:bCs/>
          <w:sz w:val="24"/>
        </w:rPr>
      </w:pPr>
      <w:r>
        <w:rPr>
          <w:rFonts w:hint="eastAsia"/>
          <w:b/>
          <w:sz w:val="24"/>
        </w:rPr>
        <w:t>北交所</w:t>
      </w:r>
      <w:r>
        <w:rPr>
          <w:rFonts w:hint="eastAsia"/>
          <w:b/>
          <w:bCs/>
          <w:sz w:val="24"/>
        </w:rPr>
        <w:t>地址：北京市西城区金融大街甲17号</w:t>
      </w:r>
      <w:r>
        <w:rPr>
          <w:rFonts w:hint="eastAsia"/>
          <w:b/>
          <w:bCs/>
          <w:sz w:val="24"/>
          <w:lang w:val="en-US" w:eastAsia="zh-CN"/>
        </w:rPr>
        <w:t xml:space="preserve"> </w:t>
      </w:r>
      <w:r>
        <w:rPr>
          <w:rFonts w:hint="eastAsia"/>
          <w:b/>
          <w:bCs/>
          <w:sz w:val="24"/>
        </w:rPr>
        <w:t>邮编：100033</w:t>
      </w:r>
    </w:p>
    <w:p>
      <w:pPr>
        <w:adjustRightInd w:val="0"/>
        <w:snapToGrid w:val="0"/>
        <w:spacing w:after="120" w:line="500" w:lineRule="exact"/>
        <w:ind w:firstLine="482" w:firstLineChars="200"/>
        <w:rPr>
          <w:rFonts w:ascii="宋体" w:hAnsi="宋体"/>
          <w:b/>
          <w:sz w:val="32"/>
          <w:szCs w:val="32"/>
        </w:rPr>
      </w:pPr>
      <w:r>
        <w:rPr>
          <w:rFonts w:hint="eastAsia"/>
          <w:b/>
          <w:bCs/>
          <w:sz w:val="24"/>
        </w:rPr>
        <w:t>联系电话：010-66295566-5509        网址：www.cbex.com.cn</w:t>
      </w:r>
    </w:p>
    <w:p>
      <w:pPr>
        <w:spacing w:line="300" w:lineRule="exact"/>
        <w:ind w:firstLine="480" w:firstLineChars="200"/>
        <w:rPr>
          <w:sz w:val="24"/>
        </w:rPr>
      </w:pPr>
    </w:p>
    <w:p>
      <w:pPr>
        <w:adjustRightInd w:val="0"/>
        <w:snapToGrid w:val="0"/>
        <w:spacing w:after="120" w:line="500" w:lineRule="exact"/>
        <w:jc w:val="center"/>
        <w:rPr>
          <w:rFonts w:ascii="宋体" w:hAnsi="宋体"/>
          <w:b/>
          <w:sz w:val="32"/>
          <w:szCs w:val="32"/>
        </w:rPr>
      </w:pPr>
    </w:p>
    <w:p>
      <w:pPr>
        <w:adjustRightInd w:val="0"/>
        <w:snapToGrid w:val="0"/>
        <w:spacing w:after="120" w:line="500" w:lineRule="exact"/>
        <w:jc w:val="center"/>
        <w:rPr>
          <w:rFonts w:ascii="宋体" w:hAnsi="宋体"/>
          <w:b/>
          <w:sz w:val="32"/>
          <w:szCs w:val="32"/>
        </w:rPr>
      </w:pPr>
    </w:p>
    <w:p>
      <w:pPr>
        <w:adjustRightInd w:val="0"/>
        <w:snapToGrid w:val="0"/>
        <w:spacing w:after="120" w:line="500" w:lineRule="exact"/>
        <w:jc w:val="center"/>
        <w:rPr>
          <w:rFonts w:ascii="宋体" w:hAnsi="宋体"/>
          <w:b/>
          <w:sz w:val="32"/>
          <w:szCs w:val="32"/>
        </w:rPr>
      </w:pPr>
      <w:r>
        <w:rPr>
          <w:rFonts w:ascii="宋体" w:hAnsi="宋体"/>
          <w:b/>
          <w:sz w:val="32"/>
          <w:szCs w:val="32"/>
        </w:rPr>
        <w:br w:type="page"/>
      </w:r>
      <w:r>
        <w:rPr>
          <w:rFonts w:hint="eastAsia" w:ascii="宋体" w:hAnsi="宋体"/>
          <w:b/>
          <w:sz w:val="32"/>
          <w:szCs w:val="32"/>
        </w:rPr>
        <w:t>转让申请与承诺</w:t>
      </w:r>
    </w:p>
    <w:p>
      <w:pPr>
        <w:spacing w:line="360" w:lineRule="auto"/>
        <w:rPr>
          <w:rFonts w:ascii="宋体" w:hAnsi="宋体"/>
          <w:b/>
          <w:sz w:val="24"/>
          <w:szCs w:val="28"/>
        </w:rPr>
      </w:pPr>
      <w:r>
        <w:rPr>
          <w:rFonts w:hint="eastAsia" w:ascii="宋体" w:hAnsi="宋体"/>
          <w:b/>
          <w:sz w:val="24"/>
          <w:szCs w:val="28"/>
        </w:rPr>
        <w:t>北京产权交易所：</w:t>
      </w:r>
    </w:p>
    <w:p>
      <w:pPr>
        <w:spacing w:line="360" w:lineRule="auto"/>
        <w:ind w:firstLine="480" w:firstLineChars="200"/>
        <w:rPr>
          <w:rFonts w:ascii="宋体" w:hAnsi="宋体"/>
          <w:sz w:val="24"/>
        </w:rPr>
      </w:pPr>
      <w:r>
        <w:rPr>
          <w:rFonts w:hint="eastAsia" w:ascii="宋体" w:hAnsi="宋体"/>
          <w:sz w:val="24"/>
        </w:rPr>
        <w:t>本转让方拟转让所持有的债权资产，并委托北京产权交易所公开披露债权资产转让信息和组织交易活动。本转让方依照公开、公平、公正、诚信的原则作如下承诺：</w:t>
      </w:r>
    </w:p>
    <w:p>
      <w:pPr>
        <w:spacing w:line="360" w:lineRule="auto"/>
        <w:ind w:firstLine="480" w:firstLineChars="200"/>
        <w:rPr>
          <w:rFonts w:ascii="宋体" w:hAnsi="宋体"/>
          <w:sz w:val="24"/>
        </w:rPr>
      </w:pPr>
      <w:r>
        <w:rPr>
          <w:rFonts w:hint="eastAsia" w:ascii="宋体" w:hAnsi="宋体"/>
          <w:sz w:val="24"/>
        </w:rPr>
        <w:t>1、本次转让的债权资产权属清晰，我方对该资产拥有完全的处置权且实施资产转让不存在任何法律法规禁止或限制的情形；</w:t>
      </w:r>
    </w:p>
    <w:p>
      <w:pPr>
        <w:spacing w:line="360" w:lineRule="auto"/>
        <w:ind w:firstLine="480" w:firstLineChars="200"/>
        <w:rPr>
          <w:rFonts w:ascii="宋体" w:hAnsi="宋体"/>
          <w:sz w:val="24"/>
        </w:rPr>
      </w:pPr>
      <w:r>
        <w:rPr>
          <w:rFonts w:hint="eastAsia" w:ascii="宋体" w:hAnsi="宋体"/>
          <w:sz w:val="24"/>
        </w:rPr>
        <w:t>2、转让是我方真实意愿表示，相关行为已履行了相应程序，并依据制度经过有效的内部决策，获得了相应有权机构的批准；</w:t>
      </w:r>
    </w:p>
    <w:p>
      <w:pPr>
        <w:spacing w:line="360" w:lineRule="auto"/>
        <w:ind w:firstLine="480" w:firstLineChars="200"/>
        <w:rPr>
          <w:rFonts w:ascii="宋体" w:hAnsi="宋体"/>
          <w:sz w:val="24"/>
        </w:rPr>
      </w:pPr>
      <w:r>
        <w:rPr>
          <w:rFonts w:hint="eastAsia" w:ascii="宋体" w:hAnsi="宋体"/>
          <w:sz w:val="24"/>
        </w:rPr>
        <w:t>3、我方所提交的转让材料内容真实、完整、合法、有效，不存在虚假记载、误导性陈述或重大遗漏；</w:t>
      </w:r>
    </w:p>
    <w:p>
      <w:pPr>
        <w:spacing w:line="360" w:lineRule="auto"/>
        <w:ind w:firstLine="480" w:firstLineChars="200"/>
        <w:rPr>
          <w:rFonts w:ascii="宋体" w:hAnsi="宋体"/>
          <w:sz w:val="24"/>
        </w:rPr>
      </w:pPr>
      <w:r>
        <w:rPr>
          <w:rFonts w:hint="eastAsia" w:ascii="宋体" w:hAnsi="宋体"/>
          <w:sz w:val="24"/>
        </w:rPr>
        <w:t>4、我方已充分了解并承诺在债权资产转让过程中遵守法律法规和北京产权交易所相关交易规则及各项规定，按照有关要求履行我方义务；</w:t>
      </w:r>
    </w:p>
    <w:p>
      <w:pPr>
        <w:spacing w:line="360" w:lineRule="auto"/>
        <w:ind w:firstLine="480" w:firstLineChars="200"/>
        <w:rPr>
          <w:rFonts w:ascii="宋体" w:hAnsi="宋体"/>
          <w:kern w:val="0"/>
          <w:sz w:val="24"/>
        </w:rPr>
      </w:pPr>
      <w:r>
        <w:rPr>
          <w:rFonts w:hint="eastAsia" w:ascii="宋体" w:hAnsi="宋体"/>
          <w:sz w:val="24"/>
        </w:rPr>
        <w:t>5、网络竞价系统因不可抗力、软硬件故障、非法入侵、恶意攻击等原因而导致系统异常、竞价活动中断的，我方授权北京产权交易所视情况</w:t>
      </w:r>
      <w:r>
        <w:rPr>
          <w:rFonts w:hint="eastAsia" w:ascii="宋体" w:hAnsi="宋体"/>
          <w:kern w:val="0"/>
          <w:sz w:val="24"/>
        </w:rPr>
        <w:t>组织继续报价或重新报价；</w:t>
      </w:r>
    </w:p>
    <w:p>
      <w:pPr>
        <w:spacing w:line="360" w:lineRule="auto"/>
        <w:ind w:firstLine="480" w:firstLineChars="200"/>
        <w:rPr>
          <w:rFonts w:ascii="宋体" w:hAnsi="宋体"/>
          <w:sz w:val="24"/>
        </w:rPr>
      </w:pPr>
      <w:r>
        <w:rPr>
          <w:rFonts w:hint="eastAsia" w:ascii="宋体" w:hAnsi="宋体"/>
          <w:kern w:val="0"/>
          <w:sz w:val="24"/>
        </w:rPr>
        <w:t>6、</w:t>
      </w:r>
      <w:r>
        <w:rPr>
          <w:rFonts w:hint="eastAsia" w:ascii="宋体" w:hAnsi="宋体"/>
          <w:sz w:val="24"/>
        </w:rPr>
        <w:t>如出现以下情形，仍视为北交所完成本申请书约定的各项服务：</w:t>
      </w:r>
    </w:p>
    <w:p>
      <w:pPr>
        <w:spacing w:line="360" w:lineRule="auto"/>
        <w:ind w:firstLine="480" w:firstLineChars="200"/>
        <w:rPr>
          <w:rFonts w:ascii="宋体" w:hAnsi="宋体"/>
          <w:sz w:val="24"/>
        </w:rPr>
      </w:pPr>
      <w:r>
        <w:rPr>
          <w:rFonts w:hint="eastAsia" w:ascii="宋体" w:hAnsi="宋体"/>
          <w:sz w:val="24"/>
        </w:rPr>
        <w:t>1）自项目本次信息披露之日起6个月内，我方就此债权资产转让事宜与其他第三方订立同一转让标的的交易委托合同；</w:t>
      </w:r>
    </w:p>
    <w:p>
      <w:pPr>
        <w:spacing w:line="360" w:lineRule="auto"/>
        <w:ind w:firstLine="480" w:firstLineChars="200"/>
        <w:rPr>
          <w:rFonts w:ascii="宋体" w:hAnsi="宋体"/>
          <w:sz w:val="24"/>
        </w:rPr>
      </w:pPr>
      <w:r>
        <w:rPr>
          <w:rFonts w:hint="eastAsia" w:ascii="宋体" w:hAnsi="宋体"/>
          <w:sz w:val="24"/>
        </w:rPr>
        <w:t>2）在信息披露期间及期满后，与北交所推荐的意向受让方或其关联方私下成交的。</w:t>
      </w:r>
    </w:p>
    <w:p>
      <w:pPr>
        <w:spacing w:line="360" w:lineRule="auto"/>
        <w:ind w:firstLine="480" w:firstLineChars="200"/>
        <w:rPr>
          <w:rFonts w:ascii="宋体" w:hAnsi="宋体"/>
          <w:sz w:val="24"/>
        </w:rPr>
      </w:pPr>
      <w:r>
        <w:rPr>
          <w:rFonts w:hint="eastAsia" w:ascii="宋体" w:hAnsi="宋体"/>
          <w:sz w:val="24"/>
          <w:lang w:val="en-US" w:eastAsia="zh-CN"/>
        </w:rPr>
        <w:t>7</w:t>
      </w:r>
      <w:r>
        <w:rPr>
          <w:rFonts w:hint="eastAsia" w:ascii="宋体" w:hAnsi="宋体"/>
          <w:sz w:val="24"/>
        </w:rPr>
        <w:t>、如我方在</w:t>
      </w:r>
      <w:r>
        <w:rPr>
          <w:rFonts w:hint="eastAsia" w:ascii="宋体" w:hAnsi="宋体"/>
          <w:sz w:val="24"/>
          <w:lang w:val="en-US" w:eastAsia="zh-CN"/>
        </w:rPr>
        <w:t>信息披露期间（包括信息预披露期间）</w:t>
      </w:r>
      <w:r>
        <w:rPr>
          <w:rFonts w:hint="eastAsia" w:ascii="宋体" w:hAnsi="宋体"/>
          <w:sz w:val="24"/>
        </w:rPr>
        <w:t>及期满后</w:t>
      </w:r>
      <w:r>
        <w:rPr>
          <w:rFonts w:hint="eastAsia" w:ascii="宋体" w:hAnsi="宋体"/>
          <w:sz w:val="24"/>
          <w:u w:val="single"/>
          <w:lang w:val="en-US" w:eastAsia="zh-CN"/>
        </w:rPr>
        <w:t xml:space="preserve">     </w:t>
      </w:r>
      <w:r>
        <w:rPr>
          <w:rFonts w:hint="eastAsia" w:ascii="宋体" w:hAnsi="宋体"/>
          <w:sz w:val="24"/>
          <w:u w:val="none"/>
          <w:lang w:val="en-US" w:eastAsia="zh-CN"/>
        </w:rPr>
        <w:t>个月内</w:t>
      </w:r>
      <w:r>
        <w:rPr>
          <w:rFonts w:hint="eastAsia" w:ascii="宋体" w:hAnsi="宋体"/>
          <w:sz w:val="24"/>
        </w:rPr>
        <w:t>与北交所推荐的意向受让方或其关联方私下成交的，</w:t>
      </w:r>
      <w:r>
        <w:rPr>
          <w:rFonts w:hint="eastAsia" w:ascii="宋体" w:hAnsi="宋体"/>
          <w:sz w:val="24"/>
          <w:lang w:eastAsia="zh-CN"/>
        </w:rPr>
        <w:t>我</w:t>
      </w:r>
      <w:r>
        <w:rPr>
          <w:rFonts w:hint="eastAsia" w:ascii="宋体" w:hAnsi="宋体"/>
          <w:sz w:val="24"/>
          <w:lang w:val="en-US" w:eastAsia="zh-CN"/>
        </w:rPr>
        <w:t>方除仍应向北交所支付交易服务费外，还</w:t>
      </w:r>
      <w:r>
        <w:rPr>
          <w:rFonts w:hint="eastAsia" w:ascii="宋体" w:hAnsi="宋体"/>
          <w:sz w:val="24"/>
        </w:rPr>
        <w:t>应支付相当于转让标的成交金额</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lang w:val="en-US" w:eastAsia="zh-CN"/>
        </w:rPr>
        <w:t>或人民币</w:t>
      </w:r>
      <w:r>
        <w:rPr>
          <w:rFonts w:hint="eastAsia" w:ascii="宋体" w:hAnsi="宋体"/>
          <w:sz w:val="24"/>
          <w:u w:val="single"/>
          <w:lang w:val="en-US" w:eastAsia="zh-CN"/>
        </w:rPr>
        <w:t xml:space="preserve">     </w:t>
      </w:r>
      <w:r>
        <w:rPr>
          <w:rFonts w:hint="eastAsia" w:ascii="宋体" w:hAnsi="宋体"/>
          <w:sz w:val="24"/>
          <w:lang w:val="en-US" w:eastAsia="zh-CN"/>
        </w:rPr>
        <w:t>元</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如我方未按本申请书约定期限向北交所支付交易服务费，还应向北交所支付相当于应付服务费的每日</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u w:val="none"/>
        </w:rPr>
        <w:t>%</w:t>
      </w:r>
      <w:r>
        <w:rPr>
          <w:rFonts w:hint="eastAsia" w:ascii="宋体" w:hAnsi="宋体"/>
          <w:sz w:val="24"/>
        </w:rPr>
        <w:t>的逾期付款违约金。</w:t>
      </w:r>
    </w:p>
    <w:p>
      <w:pPr>
        <w:spacing w:line="360" w:lineRule="auto"/>
        <w:ind w:firstLine="480" w:firstLineChars="200"/>
        <w:rPr>
          <w:rFonts w:ascii="宋体" w:hAnsi="宋体"/>
          <w:sz w:val="24"/>
        </w:rPr>
      </w:pPr>
      <w:r>
        <w:rPr>
          <w:rFonts w:hint="eastAsia" w:ascii="宋体" w:hAnsi="宋体"/>
          <w:sz w:val="24"/>
          <w:lang w:val="en-US" w:eastAsia="zh-CN"/>
        </w:rPr>
        <w:t>8</w:t>
      </w:r>
      <w:r>
        <w:rPr>
          <w:rFonts w:hint="eastAsia" w:ascii="宋体" w:hAnsi="宋体"/>
          <w:sz w:val="24"/>
        </w:rPr>
        <w:t>、我方认可该项目成交价格形成机制，并承诺：</w:t>
      </w:r>
    </w:p>
    <w:p>
      <w:pPr>
        <w:spacing w:line="360" w:lineRule="auto"/>
        <w:ind w:firstLine="480" w:firstLineChars="200"/>
        <w:rPr>
          <w:rFonts w:ascii="宋体" w:hAnsi="宋体"/>
          <w:sz w:val="24"/>
        </w:rPr>
      </w:pPr>
      <w:r>
        <w:rPr>
          <w:rFonts w:hint="eastAsia" w:ascii="宋体" w:hAnsi="宋体"/>
          <w:sz w:val="24"/>
        </w:rPr>
        <w:t>1）在项目</w:t>
      </w:r>
      <w:r>
        <w:rPr>
          <w:rFonts w:hint="eastAsia" w:ascii="宋体" w:hAnsi="宋体"/>
          <w:sz w:val="24"/>
          <w:lang w:val="en-US" w:eastAsia="zh-CN"/>
        </w:rPr>
        <w:t>信息披露</w:t>
      </w:r>
      <w:r>
        <w:rPr>
          <w:rFonts w:hint="eastAsia" w:ascii="宋体" w:hAnsi="宋体"/>
          <w:sz w:val="24"/>
        </w:rPr>
        <w:t>前交纳</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万元信息披露费用，无论本次债权转让事项能否顺利完成，该信息披露服务费均不予退还。</w:t>
      </w:r>
      <w:bookmarkStart w:id="8" w:name="_GoBack"/>
      <w:bookmarkEnd w:id="8"/>
    </w:p>
    <w:p>
      <w:pPr>
        <w:spacing w:line="360" w:lineRule="auto"/>
        <w:ind w:firstLine="480" w:firstLineChars="200"/>
        <w:rPr>
          <w:rFonts w:ascii="宋体" w:hAnsi="宋体"/>
          <w:sz w:val="24"/>
        </w:rPr>
      </w:pPr>
      <w:r>
        <w:rPr>
          <w:rFonts w:hint="eastAsia" w:ascii="宋体" w:hAnsi="宋体"/>
          <w:sz w:val="24"/>
        </w:rPr>
        <w:t>2）如该项目通过协议方式成交，我方应在与受让方签订债权资产交易合同次日起5个工作日内，按照成交金额的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none"/>
        </w:rPr>
        <w:t>%</w:t>
      </w:r>
      <w:r>
        <w:rPr>
          <w:rFonts w:hint="eastAsia" w:ascii="宋体" w:hAnsi="宋体"/>
          <w:sz w:val="24"/>
        </w:rPr>
        <w:t>向北交所支付交易服务费。</w:t>
      </w:r>
    </w:p>
    <w:p>
      <w:pPr>
        <w:spacing w:line="360" w:lineRule="auto"/>
        <w:ind w:firstLine="480" w:firstLineChars="200"/>
        <w:rPr>
          <w:rFonts w:ascii="宋体" w:hAnsi="宋体"/>
          <w:sz w:val="24"/>
        </w:rPr>
      </w:pPr>
      <w:r>
        <w:rPr>
          <w:rFonts w:hint="eastAsia" w:ascii="宋体" w:hAnsi="宋体"/>
          <w:sz w:val="24"/>
        </w:rPr>
        <w:t>如该项目通过竞价方式成交，我方应在与受让方签订债权资产交易合同次日起5个工作日内，按照如下标准向北交所支付交易服务费：成交金额中的转让底价部分按照协议成交计费比率计算，增值部分（增值部分=成交金额-转让底价）按照</w:t>
      </w:r>
      <w:r>
        <w:rPr>
          <w:rFonts w:hint="eastAsia"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u w:val="none"/>
        </w:rPr>
        <w:t>%</w:t>
      </w:r>
      <w:r>
        <w:rPr>
          <w:rFonts w:hint="eastAsia" w:ascii="宋体" w:hAnsi="宋体"/>
          <w:sz w:val="24"/>
        </w:rPr>
        <w:t>计算。</w:t>
      </w:r>
    </w:p>
    <w:p>
      <w:pPr>
        <w:numPr>
          <w:ilvl w:val="0"/>
          <w:numId w:val="1"/>
        </w:numPr>
        <w:spacing w:line="360" w:lineRule="auto"/>
        <w:ind w:firstLine="480" w:firstLineChars="200"/>
        <w:rPr>
          <w:rFonts w:ascii="宋体" w:hAnsi="宋体"/>
          <w:sz w:val="24"/>
        </w:rPr>
      </w:pPr>
      <w:r>
        <w:rPr>
          <w:rFonts w:hint="eastAsia" w:ascii="宋体" w:hAnsi="宋体"/>
          <w:sz w:val="24"/>
        </w:rPr>
        <w:t>我方应在与受让方签订债权资产交易合同次日起5个工作日内，按照成交金额的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%向北交所支付顾问服务费。</w:t>
      </w:r>
    </w:p>
    <w:p>
      <w:pPr>
        <w:spacing w:line="360" w:lineRule="auto"/>
        <w:ind w:firstLine="480" w:firstLineChars="200"/>
        <w:rPr>
          <w:rFonts w:ascii="宋体" w:hAnsi="宋体"/>
          <w:kern w:val="0"/>
          <w:sz w:val="24"/>
        </w:rPr>
      </w:pPr>
      <w:r>
        <w:rPr>
          <w:rFonts w:ascii="宋体" w:hAnsi="宋体"/>
          <w:kern w:val="0"/>
          <w:sz w:val="24"/>
        </w:rPr>
        <w:t>9、如涉及跨境结算，我方承诺按照外汇管理部门的相关规定办理结算手续；</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我方保证遵守以上承诺，如违反上述承诺或有其他违法违规行为，给交易相关方造成损失的，我方愿意承担法律责任及相应的经济赔偿责任。</w:t>
      </w:r>
    </w:p>
    <w:p>
      <w:pPr>
        <w:wordWrap w:val="0"/>
        <w:spacing w:line="360" w:lineRule="auto"/>
        <w:ind w:right="600"/>
        <w:rPr>
          <w:rFonts w:ascii="宋体" w:hAnsi="宋体"/>
          <w:sz w:val="24"/>
          <w:szCs w:val="28"/>
        </w:rPr>
      </w:pPr>
    </w:p>
    <w:p>
      <w:pPr>
        <w:wordWrap w:val="0"/>
        <w:spacing w:line="360" w:lineRule="auto"/>
        <w:ind w:right="600"/>
        <w:rPr>
          <w:rFonts w:ascii="宋体" w:hAnsi="宋体"/>
          <w:sz w:val="24"/>
          <w:szCs w:val="28"/>
        </w:rPr>
      </w:pPr>
    </w:p>
    <w:p>
      <w:pPr>
        <w:spacing w:line="480" w:lineRule="auto"/>
        <w:ind w:right="1560"/>
        <w:jc w:val="center"/>
        <w:rPr>
          <w:rFonts w:ascii="宋体" w:hAnsi="宋体"/>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 xml:space="preserve">转让方（签章）： </w:t>
      </w:r>
      <w:r>
        <w:rPr>
          <w:rFonts w:ascii="宋体" w:hAnsi="宋体"/>
          <w:sz w:val="24"/>
          <w:szCs w:val="28"/>
        </w:rPr>
        <w:t xml:space="preserve">              </w:t>
      </w:r>
      <w:r>
        <w:rPr>
          <w:rFonts w:hint="eastAsia" w:ascii="宋体" w:hAnsi="宋体"/>
          <w:sz w:val="24"/>
          <w:szCs w:val="28"/>
        </w:rPr>
        <w:t xml:space="preserve"> </w:t>
      </w:r>
      <w:r>
        <w:rPr>
          <w:rFonts w:ascii="宋体" w:hAnsi="宋体"/>
          <w:sz w:val="24"/>
          <w:szCs w:val="28"/>
        </w:rPr>
        <w:t xml:space="preserve">  </w:t>
      </w:r>
    </w:p>
    <w:p>
      <w:pPr>
        <w:spacing w:line="480" w:lineRule="auto"/>
        <w:ind w:right="600"/>
        <w:jc w:val="right"/>
        <w:rPr>
          <w:rFonts w:ascii="宋体" w:hAnsi="宋体"/>
          <w:sz w:val="24"/>
          <w:szCs w:val="28"/>
        </w:rPr>
      </w:pPr>
      <w:r>
        <w:rPr>
          <w:rFonts w:hint="eastAsia" w:ascii="宋体" w:hAnsi="宋体"/>
          <w:sz w:val="24"/>
          <w:szCs w:val="28"/>
        </w:rPr>
        <w:t xml:space="preserve">  </w:t>
      </w:r>
      <w:r>
        <w:rPr>
          <w:rFonts w:ascii="宋体" w:hAnsi="宋体"/>
          <w:sz w:val="24"/>
          <w:szCs w:val="28"/>
        </w:rPr>
        <w:t xml:space="preserve">   </w:t>
      </w:r>
    </w:p>
    <w:p>
      <w:pPr>
        <w:spacing w:line="480" w:lineRule="auto"/>
        <w:ind w:right="1560"/>
        <w:rPr>
          <w:rFonts w:ascii="宋体" w:hAnsi="宋体"/>
          <w:sz w:val="24"/>
          <w:szCs w:val="28"/>
        </w:rPr>
      </w:pPr>
      <w:r>
        <w:rPr>
          <w:rFonts w:hint="eastAsia" w:ascii="宋体" w:hAnsi="宋体"/>
          <w:sz w:val="24"/>
          <w:szCs w:val="28"/>
        </w:rPr>
        <w:t xml:space="preserve"> </w:t>
      </w:r>
      <w:r>
        <w:rPr>
          <w:rFonts w:ascii="宋体" w:hAnsi="宋体"/>
          <w:sz w:val="24"/>
          <w:szCs w:val="28"/>
        </w:rPr>
        <w:t xml:space="preserve">                                  </w:t>
      </w:r>
      <w:r>
        <w:rPr>
          <w:rFonts w:hint="eastAsia" w:ascii="宋体" w:hAnsi="宋体"/>
          <w:sz w:val="24"/>
          <w:szCs w:val="28"/>
        </w:rPr>
        <w:t>年</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bookmarkStart w:id="0" w:name="OLE_LINK7"/>
      <w:bookmarkStart w:id="1" w:name="OLE_LINK8"/>
      <w:r>
        <w:rPr>
          <w:rFonts w:ascii="宋体" w:hAnsi="宋体"/>
          <w:sz w:val="24"/>
          <w:szCs w:val="28"/>
        </w:rPr>
        <w:t xml:space="preserve"> </w:t>
      </w:r>
    </w:p>
    <w:p>
      <w:pPr>
        <w:spacing w:line="360" w:lineRule="auto"/>
        <w:ind w:right="600"/>
        <w:jc w:val="center"/>
        <w:rPr>
          <w:rFonts w:ascii="宋体" w:hAnsi="宋体"/>
          <w:b/>
          <w:sz w:val="36"/>
        </w:rPr>
      </w:pPr>
      <w:r>
        <w:rPr>
          <w:rFonts w:hint="eastAsia" w:ascii="宋体" w:hAnsi="宋体"/>
          <w:b/>
          <w:sz w:val="22"/>
        </w:rPr>
        <w:br w:type="page"/>
      </w:r>
      <w:r>
        <w:rPr>
          <w:rFonts w:hint="eastAsia" w:ascii="宋体" w:hAnsi="宋体"/>
          <w:b/>
          <w:sz w:val="36"/>
        </w:rPr>
        <w:t>一、债权资产基本情况</w:t>
      </w:r>
    </w:p>
    <w:bookmarkEnd w:id="0"/>
    <w:bookmarkEnd w:id="1"/>
    <w:p>
      <w:pPr>
        <w:jc w:val="right"/>
        <w:textAlignment w:val="baseline"/>
        <w:rPr>
          <w:rFonts w:ascii="宋体" w:hAnsi="宋体"/>
          <w:sz w:val="24"/>
        </w:rPr>
      </w:pPr>
      <w:r>
        <w:rPr>
          <w:rFonts w:hint="eastAsia" w:ascii="宋体" w:hAnsi="宋体"/>
          <w:sz w:val="24"/>
        </w:rPr>
        <w:t>货币单位：万元</w:t>
      </w:r>
    </w:p>
    <w:tbl>
      <w:tblPr>
        <w:tblStyle w:val="9"/>
        <w:tblW w:w="95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29"/>
        <w:gridCol w:w="1977"/>
        <w:gridCol w:w="62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29" w:type="dxa"/>
            <w:noWrap w:val="0"/>
            <w:vAlign w:val="center"/>
          </w:tcPr>
          <w:p>
            <w:pPr>
              <w:pStyle w:val="23"/>
              <w:rPr>
                <w:rFonts w:ascii="宋体" w:hAnsi="宋体" w:eastAsia="宋体"/>
                <w:b/>
                <w:szCs w:val="24"/>
              </w:rPr>
            </w:pPr>
            <w:bookmarkStart w:id="2" w:name="OLE_LINK6"/>
            <w:bookmarkStart w:id="3" w:name="OLE_LINK5"/>
            <w:r>
              <w:rPr>
                <w:rFonts w:hint="eastAsia" w:ascii="宋体" w:hAnsi="宋体" w:eastAsia="宋体"/>
                <w:b/>
                <w:szCs w:val="24"/>
              </w:rPr>
              <w:t>标的名称</w:t>
            </w:r>
          </w:p>
        </w:tc>
        <w:tc>
          <w:tcPr>
            <w:tcW w:w="8194" w:type="dxa"/>
            <w:gridSpan w:val="2"/>
            <w:noWrap w:val="0"/>
            <w:vAlign w:val="center"/>
          </w:tcPr>
          <w:p>
            <w:pPr>
              <w:rPr>
                <w:rFonts w:hint="eastAsia"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29" w:type="dxa"/>
            <w:vMerge w:val="restart"/>
            <w:noWrap w:val="0"/>
            <w:vAlign w:val="center"/>
          </w:tcPr>
          <w:p>
            <w:pPr>
              <w:pStyle w:val="23"/>
              <w:rPr>
                <w:rFonts w:ascii="宋体" w:hAnsi="宋体"/>
                <w:b/>
                <w:szCs w:val="24"/>
              </w:rPr>
            </w:pPr>
            <w:r>
              <w:rPr>
                <w:rFonts w:hint="eastAsia" w:ascii="宋体" w:hAnsi="宋体" w:eastAsia="宋体"/>
                <w:b/>
                <w:szCs w:val="24"/>
              </w:rPr>
              <w:t>债权资产标的简况</w:t>
            </w:r>
          </w:p>
        </w:tc>
        <w:tc>
          <w:tcPr>
            <w:tcW w:w="1977" w:type="dxa"/>
            <w:noWrap w:val="0"/>
            <w:vAlign w:val="center"/>
          </w:tcPr>
          <w:p>
            <w:pPr>
              <w:jc w:val="center"/>
              <w:rPr>
                <w:rFonts w:ascii="宋体" w:hAnsi="宋体"/>
                <w:sz w:val="24"/>
              </w:rPr>
            </w:pPr>
            <w:r>
              <w:rPr>
                <w:rFonts w:hint="eastAsia" w:ascii="宋体" w:hAnsi="宋体"/>
                <w:sz w:val="24"/>
              </w:rPr>
              <w:t>债权金额</w:t>
            </w:r>
          </w:p>
        </w:tc>
        <w:tc>
          <w:tcPr>
            <w:tcW w:w="6217" w:type="dxa"/>
            <w:noWrap w:val="0"/>
            <w:vAlign w:val="center"/>
          </w:tcPr>
          <w:p>
            <w:pPr>
              <w:ind w:firstLine="960" w:firstLineChars="400"/>
              <w:jc w:val="left"/>
              <w:rPr>
                <w:rFonts w:hint="eastAsia" w:ascii="宋体" w:hAnsi="宋体"/>
                <w:sz w:val="24"/>
              </w:rPr>
            </w:pPr>
            <w:r>
              <w:rPr>
                <w:rFonts w:hint="eastAsia" w:ascii="宋体" w:hAnsi="宋体"/>
                <w:sz w:val="24"/>
              </w:rPr>
              <w:t>（基准日：</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29" w:type="dxa"/>
            <w:vMerge w:val="continue"/>
            <w:noWrap w:val="0"/>
            <w:vAlign w:val="center"/>
          </w:tcPr>
          <w:p>
            <w:pPr>
              <w:rPr>
                <w:rFonts w:ascii="宋体" w:hAnsi="宋体"/>
                <w:sz w:val="24"/>
              </w:rPr>
            </w:pPr>
          </w:p>
        </w:tc>
        <w:tc>
          <w:tcPr>
            <w:tcW w:w="1977" w:type="dxa"/>
            <w:noWrap w:val="0"/>
            <w:vAlign w:val="center"/>
          </w:tcPr>
          <w:p>
            <w:pPr>
              <w:jc w:val="center"/>
              <w:rPr>
                <w:rFonts w:ascii="宋体" w:hAnsi="宋体"/>
                <w:sz w:val="24"/>
              </w:rPr>
            </w:pPr>
            <w:r>
              <w:rPr>
                <w:rFonts w:hint="eastAsia" w:ascii="宋体" w:hAnsi="宋体"/>
                <w:sz w:val="24"/>
              </w:rPr>
              <w:t>本金</w:t>
            </w:r>
          </w:p>
        </w:tc>
        <w:tc>
          <w:tcPr>
            <w:tcW w:w="6217" w:type="dxa"/>
            <w:noWrap w:val="0"/>
            <w:vAlign w:val="center"/>
          </w:tcPr>
          <w:p>
            <w:pPr>
              <w:jc w:val="left"/>
              <w:rPr>
                <w:rFonts w:hint="eastAsia" w:ascii="宋体" w:hAnsi="宋体"/>
                <w:sz w:val="24"/>
              </w:rPr>
            </w:pPr>
            <w:r>
              <w:rPr>
                <w:rFonts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29" w:type="dxa"/>
            <w:vMerge w:val="continue"/>
            <w:noWrap w:val="0"/>
            <w:vAlign w:val="center"/>
          </w:tcPr>
          <w:p>
            <w:pPr>
              <w:rPr>
                <w:rFonts w:ascii="宋体" w:hAnsi="宋体"/>
                <w:sz w:val="24"/>
              </w:rPr>
            </w:pPr>
          </w:p>
        </w:tc>
        <w:tc>
          <w:tcPr>
            <w:tcW w:w="1977" w:type="dxa"/>
            <w:noWrap w:val="0"/>
            <w:vAlign w:val="center"/>
          </w:tcPr>
          <w:p>
            <w:pPr>
              <w:jc w:val="center"/>
              <w:rPr>
                <w:rFonts w:ascii="宋体" w:hAnsi="宋体"/>
                <w:sz w:val="24"/>
              </w:rPr>
            </w:pPr>
            <w:r>
              <w:rPr>
                <w:rFonts w:hint="eastAsia" w:ascii="宋体" w:hAnsi="宋体"/>
                <w:sz w:val="24"/>
              </w:rPr>
              <w:t>利息罚息及复利</w:t>
            </w:r>
          </w:p>
        </w:tc>
        <w:tc>
          <w:tcPr>
            <w:tcW w:w="6217" w:type="dxa"/>
            <w:noWrap w:val="0"/>
            <w:vAlign w:val="center"/>
          </w:tcPr>
          <w:p>
            <w:pPr>
              <w:jc w:val="left"/>
              <w:rPr>
                <w:rFonts w:hint="eastAsia" w:ascii="宋体" w:hAnsi="宋体"/>
                <w:sz w:val="24"/>
              </w:rPr>
            </w:pPr>
            <w:r>
              <w:rPr>
                <w:rFonts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29" w:type="dxa"/>
            <w:vMerge w:val="continue"/>
            <w:noWrap w:val="0"/>
            <w:vAlign w:val="center"/>
          </w:tcPr>
          <w:p>
            <w:pPr>
              <w:rPr>
                <w:rFonts w:ascii="宋体" w:hAnsi="宋体"/>
                <w:sz w:val="24"/>
              </w:rPr>
            </w:pPr>
          </w:p>
        </w:tc>
        <w:tc>
          <w:tcPr>
            <w:tcW w:w="1977" w:type="dxa"/>
            <w:noWrap w:val="0"/>
            <w:vAlign w:val="center"/>
          </w:tcPr>
          <w:p>
            <w:pPr>
              <w:jc w:val="center"/>
              <w:rPr>
                <w:rFonts w:ascii="宋体" w:hAnsi="宋体"/>
                <w:sz w:val="24"/>
              </w:rPr>
            </w:pPr>
            <w:r>
              <w:rPr>
                <w:rFonts w:hint="eastAsia" w:ascii="宋体" w:hAnsi="宋体"/>
                <w:sz w:val="24"/>
              </w:rPr>
              <w:t>其他费用</w:t>
            </w:r>
          </w:p>
        </w:tc>
        <w:tc>
          <w:tcPr>
            <w:tcW w:w="6217" w:type="dxa"/>
            <w:noWrap w:val="0"/>
            <w:vAlign w:val="center"/>
          </w:tcPr>
          <w:p>
            <w:pPr>
              <w:jc w:val="lef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29" w:type="dxa"/>
            <w:vMerge w:val="continue"/>
            <w:noWrap w:val="0"/>
            <w:vAlign w:val="center"/>
          </w:tcPr>
          <w:p>
            <w:pPr>
              <w:rPr>
                <w:rFonts w:ascii="宋体" w:hAnsi="宋体"/>
                <w:sz w:val="24"/>
              </w:rPr>
            </w:pPr>
          </w:p>
        </w:tc>
        <w:tc>
          <w:tcPr>
            <w:tcW w:w="1977" w:type="dxa"/>
            <w:noWrap w:val="0"/>
            <w:vAlign w:val="center"/>
          </w:tcPr>
          <w:p>
            <w:pPr>
              <w:jc w:val="center"/>
              <w:rPr>
                <w:rFonts w:ascii="宋体" w:hAnsi="宋体"/>
                <w:sz w:val="24"/>
              </w:rPr>
            </w:pPr>
            <w:r>
              <w:rPr>
                <w:rFonts w:hint="eastAsia" w:ascii="宋体" w:hAnsi="宋体"/>
                <w:sz w:val="24"/>
              </w:rPr>
              <w:t>债务人名称</w:t>
            </w:r>
          </w:p>
        </w:tc>
        <w:tc>
          <w:tcPr>
            <w:tcW w:w="6217" w:type="dxa"/>
            <w:noWrap w:val="0"/>
            <w:vAlign w:val="center"/>
          </w:tcPr>
          <w:p>
            <w:pPr>
              <w:jc w:val="left"/>
              <w:rPr>
                <w:rFonts w:hint="eastAsia"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329" w:type="dxa"/>
            <w:vMerge w:val="continue"/>
            <w:noWrap w:val="0"/>
            <w:vAlign w:val="center"/>
          </w:tcPr>
          <w:p>
            <w:pPr>
              <w:rPr>
                <w:rFonts w:ascii="宋体" w:hAnsi="宋体"/>
                <w:sz w:val="24"/>
              </w:rPr>
            </w:pPr>
          </w:p>
        </w:tc>
        <w:tc>
          <w:tcPr>
            <w:tcW w:w="1977" w:type="dxa"/>
            <w:noWrap w:val="0"/>
            <w:vAlign w:val="center"/>
          </w:tcPr>
          <w:p>
            <w:pPr>
              <w:jc w:val="center"/>
              <w:rPr>
                <w:rFonts w:ascii="宋体" w:hAnsi="宋体"/>
                <w:sz w:val="24"/>
              </w:rPr>
            </w:pPr>
            <w:r>
              <w:rPr>
                <w:rFonts w:hint="eastAsia" w:ascii="宋体" w:hAnsi="宋体"/>
                <w:sz w:val="24"/>
              </w:rPr>
              <w:t>债务人经济性质</w:t>
            </w:r>
          </w:p>
        </w:tc>
        <w:tc>
          <w:tcPr>
            <w:tcW w:w="6217" w:type="dxa"/>
            <w:noWrap w:val="0"/>
            <w:vAlign w:val="center"/>
          </w:tcPr>
          <w:p>
            <w:pPr>
              <w:pStyle w:val="23"/>
              <w:spacing w:before="0" w:after="0"/>
              <w:jc w:val="both"/>
            </w:pPr>
            <w:r>
              <w:rPr>
                <w:rFonts w:hint="eastAsia" w:ascii="宋体" w:hAnsi="宋体" w:eastAsia="宋体"/>
                <w:szCs w:val="24"/>
              </w:rPr>
              <w:t xml:space="preserve">□国有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1329" w:type="dxa"/>
            <w:vMerge w:val="continue"/>
            <w:noWrap w:val="0"/>
            <w:vAlign w:val="center"/>
          </w:tcPr>
          <w:p>
            <w:pPr>
              <w:rPr>
                <w:rFonts w:ascii="宋体" w:hAnsi="宋体"/>
                <w:sz w:val="24"/>
              </w:rPr>
            </w:pPr>
          </w:p>
        </w:tc>
        <w:tc>
          <w:tcPr>
            <w:tcW w:w="1977" w:type="dxa"/>
            <w:noWrap w:val="0"/>
            <w:vAlign w:val="center"/>
          </w:tcPr>
          <w:p>
            <w:pPr>
              <w:jc w:val="center"/>
              <w:rPr>
                <w:rFonts w:ascii="宋体" w:hAnsi="宋体"/>
                <w:sz w:val="24"/>
              </w:rPr>
            </w:pPr>
            <w:r>
              <w:rPr>
                <w:rFonts w:hint="eastAsia" w:ascii="宋体" w:hAnsi="宋体"/>
                <w:sz w:val="24"/>
              </w:rPr>
              <w:t>债权资产现状</w:t>
            </w:r>
          </w:p>
        </w:tc>
        <w:tc>
          <w:tcPr>
            <w:tcW w:w="6217" w:type="dxa"/>
            <w:noWrap w:val="0"/>
            <w:vAlign w:val="center"/>
          </w:tcPr>
          <w:p>
            <w:pPr>
              <w:ind w:firstLine="480" w:firstLineChars="200"/>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0" w:hRule="atLeast"/>
          <w:jc w:val="center"/>
        </w:trPr>
        <w:tc>
          <w:tcPr>
            <w:tcW w:w="1329" w:type="dxa"/>
            <w:vMerge w:val="continue"/>
            <w:noWrap w:val="0"/>
            <w:vAlign w:val="center"/>
          </w:tcPr>
          <w:p>
            <w:pPr>
              <w:rPr>
                <w:rFonts w:ascii="宋体" w:hAnsi="宋体"/>
                <w:sz w:val="24"/>
              </w:rPr>
            </w:pPr>
          </w:p>
        </w:tc>
        <w:tc>
          <w:tcPr>
            <w:tcW w:w="1977" w:type="dxa"/>
            <w:noWrap w:val="0"/>
            <w:vAlign w:val="center"/>
          </w:tcPr>
          <w:p>
            <w:pPr>
              <w:jc w:val="center"/>
              <w:rPr>
                <w:rFonts w:ascii="宋体" w:hAnsi="宋体" w:cs="宋体"/>
                <w:bCs/>
                <w:sz w:val="24"/>
              </w:rPr>
            </w:pPr>
            <w:r>
              <w:rPr>
                <w:rFonts w:hint="eastAsia" w:ascii="宋体" w:hAnsi="宋体" w:cs="宋体"/>
                <w:bCs/>
                <w:sz w:val="24"/>
              </w:rPr>
              <w:t>其他需要</w:t>
            </w:r>
          </w:p>
          <w:p>
            <w:pPr>
              <w:jc w:val="center"/>
              <w:rPr>
                <w:rFonts w:ascii="宋体" w:hAnsi="宋体" w:cs="宋体"/>
                <w:bCs/>
                <w:sz w:val="24"/>
              </w:rPr>
            </w:pPr>
            <w:r>
              <w:rPr>
                <w:rFonts w:hint="eastAsia" w:ascii="宋体" w:hAnsi="宋体" w:cs="宋体"/>
                <w:bCs/>
                <w:sz w:val="24"/>
              </w:rPr>
              <w:t>披露内容</w:t>
            </w:r>
          </w:p>
        </w:tc>
        <w:tc>
          <w:tcPr>
            <w:tcW w:w="6217" w:type="dxa"/>
            <w:noWrap w:val="0"/>
            <w:vAlign w:val="center"/>
          </w:tcPr>
          <w:p>
            <w:pPr>
              <w:spacing w:line="300" w:lineRule="exact"/>
              <w:rPr>
                <w:rFonts w:hint="eastAsia" w:ascii="宋体" w:hAnsi="宋体" w:cs="宋体"/>
                <w:bCs/>
                <w:sz w:val="24"/>
              </w:rPr>
            </w:pPr>
          </w:p>
        </w:tc>
      </w:tr>
      <w:bookmarkEnd w:id="2"/>
      <w:bookmarkEnd w:id="3"/>
    </w:tbl>
    <w:p>
      <w:pPr>
        <w:ind w:firstLine="3282" w:firstLineChars="1362"/>
        <w:textAlignment w:val="baseline"/>
        <w:outlineLvl w:val="0"/>
        <w:rPr>
          <w:rFonts w:ascii="宋体" w:hAnsi="宋体"/>
          <w:b/>
          <w:sz w:val="24"/>
        </w:rPr>
      </w:pPr>
      <w:bookmarkStart w:id="4" w:name="OLE_LINK10"/>
      <w:bookmarkStart w:id="5" w:name="OLE_LINK9"/>
    </w:p>
    <w:p>
      <w:pPr>
        <w:jc w:val="center"/>
        <w:textAlignment w:val="baseline"/>
        <w:outlineLvl w:val="0"/>
        <w:rPr>
          <w:rFonts w:ascii="宋体" w:hAnsi="宋体"/>
          <w:b/>
          <w:sz w:val="36"/>
        </w:rPr>
      </w:pPr>
      <w:r>
        <w:rPr>
          <w:rFonts w:hint="eastAsia" w:ascii="宋体" w:hAnsi="宋体"/>
          <w:b/>
          <w:sz w:val="36"/>
        </w:rPr>
        <w:t>二、转让方情况</w:t>
      </w:r>
    </w:p>
    <w:tbl>
      <w:tblPr>
        <w:tblStyle w:val="9"/>
        <w:tblW w:w="947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81"/>
        <w:gridCol w:w="1765"/>
        <w:gridCol w:w="2300"/>
        <w:gridCol w:w="1417"/>
        <w:gridCol w:w="25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noWrap w:val="0"/>
            <w:vAlign w:val="center"/>
          </w:tcPr>
          <w:p>
            <w:pPr>
              <w:rPr>
                <w:rFonts w:ascii="宋体" w:hAnsi="宋体"/>
                <w:b/>
                <w:sz w:val="24"/>
              </w:rPr>
            </w:pPr>
            <w:r>
              <w:rPr>
                <w:rFonts w:hint="eastAsia" w:ascii="宋体" w:hAnsi="宋体"/>
                <w:b/>
                <w:sz w:val="24"/>
              </w:rPr>
              <w:t>转让方</w:t>
            </w:r>
            <w:bookmarkEnd w:id="4"/>
            <w:bookmarkEnd w:id="5"/>
            <w:r>
              <w:rPr>
                <w:rFonts w:hint="eastAsia" w:ascii="宋体" w:hAnsi="宋体"/>
                <w:b/>
                <w:sz w:val="24"/>
              </w:rPr>
              <w:t>名称</w:t>
            </w:r>
          </w:p>
        </w:tc>
        <w:tc>
          <w:tcPr>
            <w:tcW w:w="7993" w:type="dxa"/>
            <w:gridSpan w:val="4"/>
            <w:noWrap w:val="0"/>
            <w:vAlign w:val="center"/>
          </w:tcPr>
          <w:p>
            <w:pPr>
              <w:rPr>
                <w:rFonts w:hint="eastAsia" w:ascii="宋体" w:hAnsi="宋体"/>
                <w:sz w:val="24"/>
              </w:rPr>
            </w:pPr>
            <w:r>
              <w:rPr>
                <w:rFonts w:hint="eastAsia" w:ascii="宋体" w:hAnsi="宋体"/>
                <w:sz w:val="24"/>
              </w:rPr>
              <w:t xml:space="preserve"> </w:t>
            </w:r>
            <w:r>
              <w:rPr>
                <w:rFonts w:ascii="宋体" w:hAnsi="宋体"/>
                <w:sz w:val="24"/>
              </w:rPr>
              <w:t xml:space="preserve">                 （披露时调整为：</w:t>
            </w:r>
            <w:r>
              <w:rPr>
                <w:rFonts w:hint="eastAsia" w:ascii="宋体" w:hAnsi="宋体"/>
                <w:sz w:val="24"/>
              </w:rPr>
              <w:t xml:space="preserve"> </w:t>
            </w:r>
            <w:r>
              <w:rPr>
                <w:rFonts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restart"/>
            <w:noWrap w:val="0"/>
            <w:vAlign w:val="center"/>
          </w:tcPr>
          <w:p>
            <w:pPr>
              <w:jc w:val="center"/>
              <w:rPr>
                <w:rFonts w:ascii="宋体" w:hAnsi="宋体"/>
                <w:sz w:val="24"/>
              </w:rPr>
            </w:pPr>
            <w:r>
              <w:rPr>
                <w:rFonts w:hint="eastAsia" w:ascii="宋体" w:hAnsi="宋体"/>
                <w:b/>
                <w:sz w:val="24"/>
              </w:rPr>
              <w:t>基本情况</w:t>
            </w:r>
          </w:p>
        </w:tc>
        <w:tc>
          <w:tcPr>
            <w:tcW w:w="7993" w:type="dxa"/>
            <w:gridSpan w:val="4"/>
            <w:noWrap w:val="0"/>
            <w:vAlign w:val="center"/>
          </w:tcPr>
          <w:p>
            <w:pPr>
              <w:jc w:val="center"/>
              <w:rPr>
                <w:rFonts w:ascii="宋体" w:hAnsi="宋体"/>
              </w:rPr>
            </w:pPr>
            <w:r>
              <w:rPr>
                <w:rFonts w:hint="eastAsia" w:ascii="宋体" w:hAnsi="宋体"/>
                <w:sz w:val="24"/>
              </w:rPr>
              <w:t>法人</w:t>
            </w:r>
            <w:r>
              <w:rPr>
                <w:rFonts w:hint="eastAsia" w:ascii="宋体" w:hAnsi="宋体"/>
                <w:sz w:val="24"/>
                <w:lang w:val="en-US" w:eastAsia="zh-CN"/>
              </w:rPr>
              <w:t>或</w:t>
            </w:r>
            <w:r>
              <w:rPr>
                <w:rFonts w:hint="eastAsia" w:ascii="宋体" w:hAnsi="宋体"/>
                <w:sz w:val="24"/>
              </w:rPr>
              <w:t>非法人组织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jc w:val="center"/>
              <w:rPr>
                <w:rFonts w:ascii="宋体" w:hAnsi="宋体"/>
                <w:b/>
                <w:sz w:val="24"/>
              </w:rPr>
            </w:pPr>
          </w:p>
        </w:tc>
        <w:tc>
          <w:tcPr>
            <w:tcW w:w="1765" w:type="dxa"/>
            <w:noWrap w:val="0"/>
            <w:vAlign w:val="center"/>
          </w:tcPr>
          <w:p>
            <w:pPr>
              <w:jc w:val="center"/>
              <w:rPr>
                <w:rFonts w:hint="eastAsia" w:ascii="宋体" w:hAnsi="宋体" w:eastAsia="宋体"/>
                <w:sz w:val="24"/>
                <w:lang w:eastAsia="zh-CN"/>
              </w:rPr>
            </w:pPr>
            <w:r>
              <w:rPr>
                <w:rFonts w:hint="eastAsia" w:ascii="宋体" w:hAnsi="宋体"/>
                <w:sz w:val="24"/>
                <w:lang w:val="en-US" w:eastAsia="zh-CN"/>
              </w:rPr>
              <w:t>注册地（</w:t>
            </w:r>
            <w:r>
              <w:rPr>
                <w:rFonts w:hint="eastAsia" w:ascii="宋体" w:hAnsi="宋体"/>
                <w:sz w:val="24"/>
              </w:rPr>
              <w:t>住所</w:t>
            </w:r>
            <w:r>
              <w:rPr>
                <w:rFonts w:hint="eastAsia" w:ascii="宋体" w:hAnsi="宋体"/>
                <w:sz w:val="24"/>
                <w:lang w:eastAsia="zh-CN"/>
              </w:rPr>
              <w:t>）</w:t>
            </w:r>
          </w:p>
        </w:tc>
        <w:tc>
          <w:tcPr>
            <w:tcW w:w="6228" w:type="dxa"/>
            <w:gridSpan w:val="3"/>
            <w:noWrap w:val="0"/>
            <w:vAlign w:val="center"/>
          </w:tcPr>
          <w:p>
            <w:pPr>
              <w:pStyle w:val="23"/>
              <w:spacing w:before="0" w:after="0"/>
              <w:jc w:val="both"/>
              <w:rPr>
                <w:rFonts w:hint="eastAsia"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jc w:val="center"/>
              <w:rPr>
                <w:rFonts w:ascii="宋体" w:hAnsi="宋体"/>
                <w:sz w:val="24"/>
              </w:rPr>
            </w:pPr>
          </w:p>
        </w:tc>
        <w:tc>
          <w:tcPr>
            <w:tcW w:w="1765" w:type="dxa"/>
            <w:noWrap w:val="0"/>
            <w:vAlign w:val="center"/>
          </w:tcPr>
          <w:p>
            <w:pPr>
              <w:jc w:val="center"/>
              <w:rPr>
                <w:rFonts w:hint="eastAsia" w:ascii="宋体" w:hAnsi="宋体" w:eastAsia="宋体"/>
                <w:sz w:val="24"/>
                <w:lang w:eastAsia="zh-CN"/>
              </w:rPr>
            </w:pPr>
            <w:r>
              <w:rPr>
                <w:rFonts w:hint="eastAsia" w:ascii="宋体" w:hAnsi="宋体"/>
                <w:sz w:val="24"/>
              </w:rPr>
              <w:t>法定代表人</w:t>
            </w:r>
            <w:r>
              <w:rPr>
                <w:rFonts w:hint="eastAsia" w:ascii="宋体" w:hAnsi="宋体"/>
                <w:sz w:val="24"/>
                <w:lang w:eastAsia="zh-CN"/>
              </w:rPr>
              <w:t>（</w:t>
            </w:r>
            <w:r>
              <w:rPr>
                <w:rFonts w:hint="eastAsia" w:ascii="宋体" w:hAnsi="宋体"/>
                <w:sz w:val="24"/>
              </w:rPr>
              <w:t>负责人</w:t>
            </w:r>
            <w:r>
              <w:rPr>
                <w:rFonts w:hint="eastAsia" w:ascii="宋体" w:hAnsi="宋体"/>
                <w:sz w:val="24"/>
                <w:lang w:eastAsia="zh-CN"/>
              </w:rPr>
              <w:t>）</w:t>
            </w:r>
          </w:p>
        </w:tc>
        <w:tc>
          <w:tcPr>
            <w:tcW w:w="6228" w:type="dxa"/>
            <w:gridSpan w:val="3"/>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jc w:val="center"/>
              <w:rPr>
                <w:rFonts w:ascii="宋体" w:hAnsi="宋体"/>
                <w:sz w:val="24"/>
              </w:rPr>
            </w:pPr>
          </w:p>
        </w:tc>
        <w:tc>
          <w:tcPr>
            <w:tcW w:w="1765" w:type="dxa"/>
            <w:noWrap w:val="0"/>
            <w:vAlign w:val="center"/>
          </w:tcPr>
          <w:p>
            <w:pPr>
              <w:jc w:val="center"/>
              <w:rPr>
                <w:rFonts w:ascii="宋体" w:hAnsi="宋体"/>
                <w:sz w:val="24"/>
              </w:rPr>
            </w:pPr>
            <w:r>
              <w:rPr>
                <w:rFonts w:hint="eastAsia" w:ascii="宋体" w:hAnsi="宋体"/>
                <w:sz w:val="24"/>
              </w:rPr>
              <w:t>注册资本</w:t>
            </w:r>
          </w:p>
        </w:tc>
        <w:tc>
          <w:tcPr>
            <w:tcW w:w="6228" w:type="dxa"/>
            <w:gridSpan w:val="3"/>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28" w:hRule="atLeast"/>
          <w:jc w:val="center"/>
        </w:trPr>
        <w:tc>
          <w:tcPr>
            <w:tcW w:w="1481" w:type="dxa"/>
            <w:vMerge w:val="continue"/>
            <w:noWrap w:val="0"/>
            <w:vAlign w:val="center"/>
          </w:tcPr>
          <w:p>
            <w:pPr>
              <w:jc w:val="center"/>
              <w:rPr>
                <w:rFonts w:ascii="宋体" w:hAnsi="宋体"/>
                <w:sz w:val="24"/>
              </w:rPr>
            </w:pPr>
          </w:p>
        </w:tc>
        <w:tc>
          <w:tcPr>
            <w:tcW w:w="1765" w:type="dxa"/>
            <w:noWrap w:val="0"/>
            <w:vAlign w:val="center"/>
          </w:tcPr>
          <w:p>
            <w:pPr>
              <w:spacing w:line="240" w:lineRule="exact"/>
              <w:jc w:val="center"/>
              <w:rPr>
                <w:rFonts w:ascii="宋体" w:hAnsi="宋体"/>
                <w:sz w:val="24"/>
              </w:rPr>
            </w:pPr>
            <w:r>
              <w:rPr>
                <w:rFonts w:hint="eastAsia" w:ascii="宋体" w:hAnsi="宋体"/>
                <w:sz w:val="24"/>
              </w:rPr>
              <w:t>企业类型</w:t>
            </w:r>
          </w:p>
        </w:tc>
        <w:tc>
          <w:tcPr>
            <w:tcW w:w="6228" w:type="dxa"/>
            <w:gridSpan w:val="3"/>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restart"/>
            <w:noWrap w:val="0"/>
            <w:vAlign w:val="center"/>
          </w:tcPr>
          <w:p>
            <w:pPr>
              <w:jc w:val="center"/>
              <w:rPr>
                <w:rFonts w:ascii="宋体" w:hAnsi="宋体"/>
                <w:b/>
                <w:sz w:val="24"/>
              </w:rPr>
            </w:pPr>
            <w:r>
              <w:rPr>
                <w:rFonts w:hint="eastAsia" w:ascii="宋体" w:hAnsi="宋体"/>
                <w:b/>
                <w:sz w:val="24"/>
              </w:rPr>
              <w:t>联系方式</w:t>
            </w:r>
          </w:p>
        </w:tc>
        <w:tc>
          <w:tcPr>
            <w:tcW w:w="1765" w:type="dxa"/>
            <w:noWrap w:val="0"/>
            <w:vAlign w:val="center"/>
          </w:tcPr>
          <w:p>
            <w:pPr>
              <w:jc w:val="center"/>
              <w:rPr>
                <w:rFonts w:ascii="宋体" w:hAnsi="宋体"/>
                <w:sz w:val="24"/>
              </w:rPr>
            </w:pPr>
            <w:r>
              <w:rPr>
                <w:rFonts w:hint="eastAsia" w:ascii="宋体" w:hAnsi="宋体"/>
                <w:sz w:val="24"/>
              </w:rPr>
              <w:t>联系人</w:t>
            </w:r>
          </w:p>
        </w:tc>
        <w:tc>
          <w:tcPr>
            <w:tcW w:w="6228" w:type="dxa"/>
            <w:gridSpan w:val="3"/>
            <w:noWrap w:val="0"/>
            <w:vAlign w:val="center"/>
          </w:tcPr>
          <w:p>
            <w:pPr>
              <w:jc w:val="center"/>
              <w:rPr>
                <w:rFonts w:hint="eastAsia"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rPr>
                <w:rFonts w:ascii="宋体" w:hAnsi="宋体"/>
                <w:sz w:val="24"/>
              </w:rPr>
            </w:pPr>
          </w:p>
        </w:tc>
        <w:tc>
          <w:tcPr>
            <w:tcW w:w="1765" w:type="dxa"/>
            <w:noWrap w:val="0"/>
            <w:vAlign w:val="center"/>
          </w:tcPr>
          <w:p>
            <w:pPr>
              <w:jc w:val="center"/>
              <w:rPr>
                <w:rFonts w:ascii="宋体" w:hAnsi="宋体"/>
                <w:sz w:val="24"/>
              </w:rPr>
            </w:pPr>
            <w:r>
              <w:rPr>
                <w:rFonts w:hint="eastAsia" w:ascii="宋体" w:hAnsi="宋体"/>
                <w:sz w:val="24"/>
              </w:rPr>
              <w:t>通讯地址</w:t>
            </w:r>
          </w:p>
        </w:tc>
        <w:tc>
          <w:tcPr>
            <w:tcW w:w="6228" w:type="dxa"/>
            <w:gridSpan w:val="3"/>
            <w:noWrap w:val="0"/>
            <w:vAlign w:val="center"/>
          </w:tcPr>
          <w:p>
            <w:pPr>
              <w:jc w:val="center"/>
              <w:rPr>
                <w:rFonts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rPr>
                <w:rFonts w:ascii="宋体" w:hAnsi="宋体"/>
                <w:sz w:val="24"/>
              </w:rPr>
            </w:pPr>
          </w:p>
        </w:tc>
        <w:tc>
          <w:tcPr>
            <w:tcW w:w="1765" w:type="dxa"/>
            <w:noWrap w:val="0"/>
            <w:vAlign w:val="center"/>
          </w:tcPr>
          <w:p>
            <w:pPr>
              <w:jc w:val="center"/>
              <w:rPr>
                <w:rFonts w:ascii="宋体" w:hAnsi="宋体"/>
                <w:sz w:val="24"/>
              </w:rPr>
            </w:pPr>
            <w:r>
              <w:rPr>
                <w:rFonts w:hint="eastAsia" w:ascii="宋体" w:hAnsi="宋体"/>
                <w:sz w:val="24"/>
              </w:rPr>
              <w:t>联系电话</w:t>
            </w:r>
          </w:p>
        </w:tc>
        <w:tc>
          <w:tcPr>
            <w:tcW w:w="2300" w:type="dxa"/>
            <w:noWrap w:val="0"/>
            <w:vAlign w:val="center"/>
          </w:tcPr>
          <w:p>
            <w:pPr>
              <w:jc w:val="center"/>
              <w:rPr>
                <w:rFonts w:hint="eastAsia" w:ascii="宋体" w:hAnsi="宋体"/>
                <w:sz w:val="24"/>
              </w:rPr>
            </w:pPr>
            <w:r>
              <w:rPr>
                <w:rFonts w:hint="eastAsia" w:ascii="宋体" w:hAnsi="宋体"/>
                <w:sz w:val="24"/>
              </w:rPr>
              <w:t xml:space="preserve"> </w:t>
            </w:r>
          </w:p>
        </w:tc>
        <w:tc>
          <w:tcPr>
            <w:tcW w:w="1417" w:type="dxa"/>
            <w:noWrap w:val="0"/>
            <w:vAlign w:val="center"/>
          </w:tcPr>
          <w:p>
            <w:pPr>
              <w:jc w:val="center"/>
              <w:rPr>
                <w:rFonts w:ascii="宋体" w:hAnsi="宋体"/>
                <w:sz w:val="24"/>
              </w:rPr>
            </w:pPr>
            <w:r>
              <w:rPr>
                <w:rFonts w:hint="eastAsia" w:ascii="宋体" w:hAnsi="宋体"/>
                <w:sz w:val="24"/>
              </w:rPr>
              <w:t>传真</w:t>
            </w:r>
          </w:p>
        </w:tc>
        <w:tc>
          <w:tcPr>
            <w:tcW w:w="2511" w:type="dxa"/>
            <w:noWrap w:val="0"/>
            <w:vAlign w:val="center"/>
          </w:tcPr>
          <w:p>
            <w:pPr>
              <w:rPr>
                <w:rFonts w:hint="eastAsia"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481" w:type="dxa"/>
            <w:vMerge w:val="continue"/>
            <w:noWrap w:val="0"/>
            <w:vAlign w:val="center"/>
          </w:tcPr>
          <w:p>
            <w:pPr>
              <w:rPr>
                <w:rFonts w:ascii="宋体" w:hAnsi="宋体"/>
                <w:sz w:val="24"/>
              </w:rPr>
            </w:pPr>
          </w:p>
        </w:tc>
        <w:tc>
          <w:tcPr>
            <w:tcW w:w="1765" w:type="dxa"/>
            <w:noWrap w:val="0"/>
            <w:vAlign w:val="center"/>
          </w:tcPr>
          <w:p>
            <w:pPr>
              <w:jc w:val="center"/>
              <w:rPr>
                <w:rFonts w:ascii="宋体" w:hAnsi="宋体"/>
                <w:sz w:val="24"/>
              </w:rPr>
            </w:pPr>
            <w:r>
              <w:rPr>
                <w:rFonts w:hint="eastAsia"/>
                <w:sz w:val="24"/>
              </w:rPr>
              <w:t>电子邮件</w:t>
            </w:r>
          </w:p>
        </w:tc>
        <w:tc>
          <w:tcPr>
            <w:tcW w:w="2300" w:type="dxa"/>
            <w:noWrap w:val="0"/>
            <w:vAlign w:val="center"/>
          </w:tcPr>
          <w:p>
            <w:pPr>
              <w:jc w:val="center"/>
              <w:rPr>
                <w:rFonts w:hint="eastAsia" w:ascii="宋体" w:hAnsi="宋体"/>
                <w:sz w:val="24"/>
              </w:rPr>
            </w:pPr>
            <w:r>
              <w:rPr>
                <w:rFonts w:hint="eastAsia" w:ascii="宋体" w:hAnsi="宋体"/>
                <w:sz w:val="24"/>
              </w:rPr>
              <w:t xml:space="preserve">  </w:t>
            </w:r>
          </w:p>
        </w:tc>
        <w:tc>
          <w:tcPr>
            <w:tcW w:w="1417" w:type="dxa"/>
            <w:noWrap w:val="0"/>
            <w:vAlign w:val="center"/>
          </w:tcPr>
          <w:p>
            <w:pPr>
              <w:jc w:val="center"/>
              <w:rPr>
                <w:sz w:val="24"/>
              </w:rPr>
            </w:pPr>
            <w:r>
              <w:rPr>
                <w:rFonts w:hint="eastAsia"/>
                <w:sz w:val="24"/>
              </w:rPr>
              <w:t>微信号</w:t>
            </w:r>
          </w:p>
        </w:tc>
        <w:tc>
          <w:tcPr>
            <w:tcW w:w="2511" w:type="dxa"/>
            <w:noWrap w:val="0"/>
            <w:vAlign w:val="center"/>
          </w:tcPr>
          <w:p>
            <w:pPr>
              <w:rPr>
                <w:rFonts w:hint="eastAsia" w:ascii="宋体" w:hAnsi="宋体"/>
                <w:sz w:val="24"/>
              </w:rPr>
            </w:pPr>
            <w:r>
              <w:rPr>
                <w:rFonts w:hint="eastAsia" w:ascii="宋体"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733" w:hRule="exact"/>
          <w:jc w:val="center"/>
        </w:trPr>
        <w:tc>
          <w:tcPr>
            <w:tcW w:w="1481" w:type="dxa"/>
            <w:noWrap w:val="0"/>
            <w:vAlign w:val="center"/>
          </w:tcPr>
          <w:p>
            <w:pPr>
              <w:jc w:val="center"/>
              <w:rPr>
                <w:rFonts w:ascii="宋体" w:hAnsi="宋体"/>
                <w:b/>
                <w:sz w:val="24"/>
              </w:rPr>
            </w:pPr>
            <w:r>
              <w:rPr>
                <w:rFonts w:hint="eastAsia" w:ascii="宋体" w:hAnsi="宋体"/>
                <w:b/>
                <w:sz w:val="24"/>
              </w:rPr>
              <w:t>内部决策</w:t>
            </w:r>
          </w:p>
          <w:p>
            <w:pPr>
              <w:jc w:val="center"/>
              <w:rPr>
                <w:rFonts w:ascii="宋体" w:hAnsi="宋体"/>
                <w:b/>
                <w:sz w:val="24"/>
              </w:rPr>
            </w:pPr>
            <w:r>
              <w:rPr>
                <w:rFonts w:hint="eastAsia" w:ascii="宋体" w:hAnsi="宋体"/>
                <w:b/>
                <w:sz w:val="24"/>
              </w:rPr>
              <w:t>情    况</w:t>
            </w:r>
          </w:p>
        </w:tc>
        <w:tc>
          <w:tcPr>
            <w:tcW w:w="7993" w:type="dxa"/>
            <w:gridSpan w:val="4"/>
            <w:noWrap w:val="0"/>
            <w:vAlign w:val="center"/>
          </w:tcPr>
          <w:p>
            <w:pPr>
              <w:rPr>
                <w:rFonts w:ascii="宋体" w:hAnsi="宋体"/>
                <w:sz w:val="24"/>
              </w:rPr>
            </w:pPr>
            <w:r>
              <w:rPr>
                <w:rFonts w:hint="eastAsia" w:ascii="宋体" w:hAnsi="宋体"/>
                <w:sz w:val="24"/>
              </w:rPr>
              <w:t>以下决议已按公司法及其他有关法律法规要求完成，议事规则和决策程序符合规定。</w:t>
            </w:r>
          </w:p>
          <w:p>
            <w:pPr>
              <w:rPr>
                <w:rFonts w:ascii="宋体" w:hAnsi="宋体"/>
                <w:sz w:val="24"/>
              </w:rPr>
            </w:pPr>
            <w:r>
              <w:rPr>
                <w:rFonts w:hint="eastAsia" w:ascii="宋体" w:hAnsi="宋体"/>
                <w:sz w:val="24"/>
              </w:rPr>
              <w:t xml:space="preserve">  A.股东会决议  B.董事会决议  C.总经理办公会决议 </w:t>
            </w:r>
          </w:p>
          <w:p>
            <w:pPr>
              <w:ind w:firstLine="240" w:firstLineChars="100"/>
              <w:rPr>
                <w:sz w:val="24"/>
              </w:rPr>
            </w:pPr>
            <w:r>
              <w:rPr>
                <w:rFonts w:hint="eastAsia" w:ascii="宋体" w:hAnsi="宋体"/>
                <w:sz w:val="24"/>
              </w:rPr>
              <w:t>D.其他</w:t>
            </w:r>
            <w:r>
              <w:rPr>
                <w:rFonts w:hint="eastAsia" w:ascii="宋体" w:hAnsi="宋体"/>
                <w:sz w:val="24"/>
                <w:u w:val="single"/>
                <w:lang w:val="en-US" w:eastAsia="zh-CN"/>
              </w:rPr>
              <w:t xml:space="preserve">        </w:t>
            </w:r>
            <w:r>
              <w:rPr>
                <w:rFonts w:hint="eastAsia" w:ascii="宋体" w:hAnsi="宋体"/>
                <w:sz w:val="24"/>
              </w:rPr>
              <w:t xml:space="preserve"> </w:t>
            </w:r>
          </w:p>
        </w:tc>
      </w:tr>
    </w:tbl>
    <w:p>
      <w:pPr>
        <w:spacing w:line="360" w:lineRule="auto"/>
        <w:textAlignment w:val="baseline"/>
        <w:outlineLvl w:val="0"/>
        <w:rPr>
          <w:rFonts w:ascii="宋体" w:hAnsi="宋体"/>
          <w:b/>
          <w:sz w:val="36"/>
        </w:rPr>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pPr>
    </w:p>
    <w:p>
      <w:pPr>
        <w:spacing w:line="360" w:lineRule="auto"/>
        <w:ind w:firstLine="1626" w:firstLineChars="450"/>
        <w:textAlignment w:val="baseline"/>
        <w:outlineLvl w:val="0"/>
        <w:rPr>
          <w:rFonts w:ascii="宋体" w:hAnsi="宋体"/>
          <w:b/>
          <w:sz w:val="36"/>
        </w:rPr>
      </w:pPr>
      <w:r>
        <w:rPr>
          <w:rFonts w:ascii="宋体" w:hAnsi="宋体"/>
          <w:b/>
          <w:sz w:val="36"/>
        </w:rPr>
        <w:t>三</w:t>
      </w:r>
      <w:r>
        <w:rPr>
          <w:rFonts w:hint="eastAsia" w:ascii="宋体" w:hAnsi="宋体"/>
          <w:b/>
          <w:sz w:val="36"/>
        </w:rPr>
        <w:t>、交易条件与受让方资格条件</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3"/>
        <w:gridCol w:w="2112"/>
        <w:gridCol w:w="60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83" w:type="dxa"/>
            <w:vMerge w:val="restart"/>
            <w:noWrap w:val="0"/>
            <w:vAlign w:val="center"/>
          </w:tcPr>
          <w:p>
            <w:pPr>
              <w:jc w:val="center"/>
              <w:rPr>
                <w:rFonts w:ascii="宋体" w:hAnsi="宋体"/>
                <w:b/>
                <w:sz w:val="24"/>
              </w:rPr>
            </w:pPr>
            <w:r>
              <w:rPr>
                <w:rFonts w:hint="eastAsia" w:ascii="宋体" w:hAnsi="宋体"/>
                <w:b/>
                <w:sz w:val="24"/>
              </w:rPr>
              <w:t>交易条件</w:t>
            </w:r>
          </w:p>
        </w:tc>
        <w:tc>
          <w:tcPr>
            <w:tcW w:w="2112" w:type="dxa"/>
            <w:noWrap w:val="0"/>
            <w:vAlign w:val="center"/>
          </w:tcPr>
          <w:p>
            <w:pPr>
              <w:jc w:val="center"/>
              <w:rPr>
                <w:rFonts w:ascii="宋体" w:hAnsi="宋体"/>
                <w:sz w:val="24"/>
              </w:rPr>
            </w:pPr>
            <w:r>
              <w:rPr>
                <w:rFonts w:hint="eastAsia" w:ascii="宋体" w:hAnsi="宋体"/>
                <w:sz w:val="24"/>
              </w:rPr>
              <w:t>转让底价</w:t>
            </w:r>
          </w:p>
        </w:tc>
        <w:tc>
          <w:tcPr>
            <w:tcW w:w="6037" w:type="dxa"/>
            <w:noWrap w:val="0"/>
            <w:vAlign w:val="center"/>
          </w:tcPr>
          <w:p>
            <w:pPr>
              <w:ind w:firstLine="720" w:firstLineChars="300"/>
              <w:rPr>
                <w:rFonts w:ascii="宋体" w:hAnsi="宋体" w:cs="宋体"/>
                <w:sz w:val="24"/>
              </w:rPr>
            </w:pPr>
            <w:r>
              <w:rPr>
                <w:rFonts w:hint="eastAsia" w:ascii="宋体" w:hAnsi="宋体"/>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83" w:type="dxa"/>
            <w:vMerge w:val="continue"/>
            <w:noWrap w:val="0"/>
            <w:vAlign w:val="top"/>
          </w:tcPr>
          <w:p>
            <w:pPr>
              <w:rPr>
                <w:rFonts w:ascii="宋体" w:hAnsi="宋体"/>
                <w:sz w:val="24"/>
              </w:rPr>
            </w:pPr>
          </w:p>
        </w:tc>
        <w:tc>
          <w:tcPr>
            <w:tcW w:w="2112" w:type="dxa"/>
            <w:noWrap w:val="0"/>
            <w:vAlign w:val="center"/>
          </w:tcPr>
          <w:p>
            <w:pPr>
              <w:jc w:val="center"/>
              <w:rPr>
                <w:rFonts w:ascii="宋体" w:hAnsi="宋体"/>
                <w:sz w:val="24"/>
              </w:rPr>
            </w:pPr>
            <w:r>
              <w:rPr>
                <w:rFonts w:hint="eastAsia" w:ascii="宋体" w:hAnsi="宋体"/>
                <w:sz w:val="24"/>
              </w:rPr>
              <w:t>价款支付方式</w:t>
            </w:r>
          </w:p>
        </w:tc>
        <w:tc>
          <w:tcPr>
            <w:tcW w:w="6037" w:type="dxa"/>
            <w:noWrap w:val="0"/>
            <w:vAlign w:val="center"/>
          </w:tcPr>
          <w:p>
            <w:pPr>
              <w:ind w:left="720" w:hanging="720" w:hangingChars="300"/>
              <w:rPr>
                <w:rFonts w:ascii="宋体" w:hAnsi="宋体"/>
                <w:sz w:val="24"/>
              </w:rPr>
            </w:pPr>
            <w:r>
              <w:rPr>
                <w:rFonts w:hint="eastAsia" w:ascii="宋体" w:hAnsi="宋体" w:cs="宋体"/>
                <w:sz w:val="24"/>
              </w:rPr>
              <w:t>□A.一次性支付□B.分期支付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20" w:hRule="atLeast"/>
          <w:jc w:val="center"/>
        </w:trPr>
        <w:tc>
          <w:tcPr>
            <w:tcW w:w="1283" w:type="dxa"/>
            <w:vMerge w:val="continue"/>
            <w:noWrap w:val="0"/>
            <w:vAlign w:val="top"/>
          </w:tcPr>
          <w:p>
            <w:pPr>
              <w:rPr>
                <w:rFonts w:ascii="宋体" w:hAnsi="宋体"/>
                <w:sz w:val="24"/>
              </w:rPr>
            </w:pPr>
          </w:p>
        </w:tc>
        <w:tc>
          <w:tcPr>
            <w:tcW w:w="2112" w:type="dxa"/>
            <w:noWrap w:val="0"/>
            <w:vAlign w:val="center"/>
          </w:tcPr>
          <w:p>
            <w:pPr>
              <w:pStyle w:val="23"/>
              <w:spacing w:before="0" w:after="0"/>
              <w:rPr>
                <w:rFonts w:ascii="宋体" w:hAnsi="宋体" w:eastAsia="宋体"/>
                <w:szCs w:val="24"/>
              </w:rPr>
            </w:pPr>
            <w:r>
              <w:rPr>
                <w:rFonts w:hint="eastAsia" w:ascii="宋体" w:hAnsi="宋体" w:eastAsia="宋体"/>
                <w:szCs w:val="24"/>
              </w:rPr>
              <w:t>与转让相关</w:t>
            </w:r>
          </w:p>
          <w:p>
            <w:pPr>
              <w:pStyle w:val="23"/>
              <w:spacing w:before="0" w:after="0"/>
              <w:rPr>
                <w:rFonts w:ascii="宋体" w:hAnsi="宋体" w:eastAsia="宋体"/>
                <w:szCs w:val="24"/>
              </w:rPr>
            </w:pPr>
            <w:r>
              <w:rPr>
                <w:rFonts w:hint="eastAsia" w:ascii="宋体" w:hAnsi="宋体" w:eastAsia="宋体"/>
                <w:szCs w:val="24"/>
              </w:rPr>
              <w:t>其他条件</w:t>
            </w:r>
          </w:p>
        </w:tc>
        <w:tc>
          <w:tcPr>
            <w:tcW w:w="6037" w:type="dxa"/>
            <w:noWrap w:val="0"/>
            <w:vAlign w:val="center"/>
          </w:tcPr>
          <w:p>
            <w:pPr>
              <w:pStyle w:val="23"/>
              <w:jc w:val="left"/>
              <w:rPr>
                <w:rFonts w:hint="eastAsia" w:ascii="宋体" w:hAnsi="宋体" w:eastAsia="宋体" w:cs="宋体"/>
                <w:bCs/>
                <w:szCs w:val="24"/>
              </w:rPr>
            </w:pPr>
            <w:r>
              <w:rPr>
                <w:rFonts w:hint="eastAsia" w:ascii="宋体" w:hAnsi="宋体" w:eastAsia="宋体" w:cs="宋体"/>
                <w:bCs/>
                <w:szCs w:val="24"/>
              </w:rPr>
              <w:t>1、意向受让方应当按照要求，在指定期限内将交易保证金交纳至北交所指定账户；意向受让方被确定为受让方后[ ]个工作日内与转让方签订债权资产交易合同；意向受让方在被确定为受让方后[ ]个工作日内未与转让方签订债权资产交易合同的，转让方有权要求北交所扣除全部交易保证金，且有权单方面宣布本次转让无效并有权另行处置转让债权。</w:t>
            </w:r>
          </w:p>
          <w:p>
            <w:pPr>
              <w:pStyle w:val="23"/>
              <w:jc w:val="left"/>
              <w:rPr>
                <w:rFonts w:hint="eastAsia" w:ascii="宋体" w:hAnsi="宋体" w:eastAsia="宋体" w:cs="宋体"/>
                <w:bCs/>
                <w:szCs w:val="24"/>
              </w:rPr>
            </w:pPr>
            <w:r>
              <w:rPr>
                <w:rFonts w:hint="eastAsia" w:ascii="宋体" w:hAnsi="宋体" w:eastAsia="宋体" w:cs="宋体"/>
                <w:bCs/>
                <w:szCs w:val="24"/>
              </w:rPr>
              <w:t>2、受让方在债权资产交易合同签订后，按照合同约定□一次性□分期向转让方指定账户支付除保证金外的全部价款。</w:t>
            </w:r>
          </w:p>
          <w:p>
            <w:pPr>
              <w:pStyle w:val="23"/>
              <w:jc w:val="left"/>
              <w:rPr>
                <w:rFonts w:hint="eastAsia" w:ascii="宋体" w:hAnsi="宋体" w:eastAsia="宋体" w:cs="宋体"/>
                <w:bCs/>
                <w:szCs w:val="24"/>
              </w:rPr>
            </w:pPr>
            <w:r>
              <w:rPr>
                <w:rFonts w:hint="eastAsia" w:ascii="宋体" w:hAnsi="宋体" w:eastAsia="宋体" w:cs="宋体"/>
                <w:bCs/>
                <w:szCs w:val="24"/>
              </w:rPr>
              <w:t>3、转让方在收到标的资产全部交易价款且北交所出具债权交易凭证后的[   ]个工作日内进行标的资产权属资料移交。</w:t>
            </w:r>
          </w:p>
          <w:p>
            <w:pPr>
              <w:pStyle w:val="23"/>
              <w:jc w:val="left"/>
              <w:rPr>
                <w:rFonts w:hint="eastAsia" w:ascii="宋体" w:hAnsi="宋体" w:eastAsia="宋体" w:cs="宋体"/>
                <w:bCs/>
                <w:szCs w:val="24"/>
              </w:rPr>
            </w:pPr>
            <w:r>
              <w:rPr>
                <w:rFonts w:hint="eastAsia" w:ascii="宋体" w:hAnsi="宋体" w:eastAsia="宋体" w:cs="宋体"/>
                <w:bCs/>
                <w:szCs w:val="24"/>
              </w:rPr>
              <w:t>4、本项目公告期即为尽职调查期，意向受让方在本项目公告期间有权利和义务自行对债权标的进行全面了解。意向受让方通过受让资格确认并且交纳保证金后，即视为已详细阅读并完全认可本项目所披露内容，已充分了解并自愿完全接受本项目债权转让公告内容及债权交易标的的现状及瑕疵，已完成对本项目的全部尽职调查，愿全面履行交易程序。意向受让方若发生以不了解债权标的的现状及瑕疵等为由发生逾期或拒绝签订债权资产交易合同、拒付交易价款、放弃受让或退还债权标的等情形的，即视为违约行为，应承担相关的全部经济责任与风险，北交所有权按本项目交易条件的有关约定扣除其交纳的保证金，转让方可以将转让标的重新</w:t>
            </w:r>
            <w:r>
              <w:rPr>
                <w:rFonts w:hint="eastAsia" w:ascii="宋体" w:hAnsi="宋体" w:eastAsia="宋体" w:cs="宋体"/>
                <w:bCs/>
                <w:szCs w:val="24"/>
                <w:lang w:val="en-US" w:eastAsia="zh-CN"/>
              </w:rPr>
              <w:t>披露</w:t>
            </w:r>
            <w:r>
              <w:rPr>
                <w:rFonts w:hint="eastAsia" w:ascii="宋体" w:hAnsi="宋体" w:eastAsia="宋体" w:cs="宋体"/>
                <w:bCs/>
                <w:szCs w:val="24"/>
              </w:rPr>
              <w:t>。</w:t>
            </w:r>
          </w:p>
          <w:p>
            <w:pPr>
              <w:tabs>
                <w:tab w:val="left" w:pos="332"/>
                <w:tab w:val="left" w:pos="612"/>
              </w:tabs>
              <w:autoSpaceDE w:val="0"/>
              <w:autoSpaceDN w:val="0"/>
              <w:adjustRightInd w:val="0"/>
              <w:spacing w:before="156" w:beforeLines="50"/>
              <w:ind w:right="28"/>
              <w:rPr>
                <w:rFonts w:hint="eastAsia" w:cs="宋体"/>
                <w:szCs w:val="32"/>
              </w:rPr>
            </w:pPr>
            <w:r>
              <w:rPr>
                <w:rFonts w:hint="eastAsia" w:ascii="宋体" w:hAnsi="宋体" w:cs="宋体"/>
                <w:bCs/>
                <w:sz w:val="24"/>
                <w:lang w:val="en-US" w:eastAsia="zh-CN"/>
              </w:rPr>
              <w:t>5</w:t>
            </w:r>
            <w:r>
              <w:rPr>
                <w:rFonts w:hint="eastAsia" w:ascii="宋体" w:hAnsi="宋体" w:cs="宋体"/>
                <w:bCs/>
                <w:sz w:val="24"/>
              </w:rPr>
              <w:t>、</w:t>
            </w:r>
            <w:r>
              <w:rPr>
                <w:rFonts w:hint="eastAsia" w:ascii="宋体" w:hAnsi="宋体" w:cs="宋体"/>
                <w:sz w:val="24"/>
                <w:szCs w:val="32"/>
              </w:rPr>
              <w:t>（</w:t>
            </w:r>
            <w:r>
              <w:rPr>
                <w:rFonts w:hint="eastAsia" w:ascii="宋体" w:hAnsi="宋体" w:cs="宋体"/>
                <w:sz w:val="24"/>
                <w:szCs w:val="32"/>
                <w:lang w:val="en-US" w:eastAsia="zh-CN"/>
              </w:rPr>
              <w:t>适用于需</w:t>
            </w:r>
            <w:r>
              <w:rPr>
                <w:rFonts w:hint="eastAsia" w:ascii="宋体" w:hAnsi="宋体" w:cs="宋体"/>
                <w:sz w:val="24"/>
                <w:szCs w:val="32"/>
              </w:rPr>
              <w:t>补登公告的情形）如本项目在信息披露期满后，只产生一</w:t>
            </w:r>
            <w:r>
              <w:rPr>
                <w:rFonts w:hint="eastAsia" w:ascii="宋体" w:hAnsi="宋体" w:cs="宋体"/>
                <w:sz w:val="24"/>
                <w:szCs w:val="32"/>
                <w:lang w:eastAsia="zh-CN"/>
              </w:rPr>
              <w:t>个</w:t>
            </w:r>
            <w:r>
              <w:rPr>
                <w:rFonts w:hint="eastAsia" w:ascii="宋体" w:hAnsi="宋体" w:cs="宋体"/>
                <w:sz w:val="24"/>
                <w:szCs w:val="32"/>
              </w:rPr>
              <w:t>符合条件的意向受让方，北交所按照信息披露公告的内容延长公告时间，公告时间为7个工作日。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283" w:type="dxa"/>
            <w:vMerge w:val="continue"/>
            <w:noWrap w:val="0"/>
            <w:vAlign w:val="center"/>
          </w:tcPr>
          <w:p>
            <w:pPr>
              <w:jc w:val="center"/>
              <w:rPr>
                <w:rFonts w:ascii="宋体" w:hAnsi="宋体"/>
                <w:b/>
                <w:sz w:val="24"/>
              </w:rPr>
            </w:pPr>
          </w:p>
        </w:tc>
        <w:tc>
          <w:tcPr>
            <w:tcW w:w="2112" w:type="dxa"/>
            <w:noWrap w:val="0"/>
            <w:vAlign w:val="center"/>
          </w:tcPr>
          <w:p>
            <w:pPr>
              <w:jc w:val="center"/>
              <w:rPr>
                <w:rFonts w:ascii="宋体" w:hAnsi="宋体"/>
                <w:sz w:val="24"/>
              </w:rPr>
            </w:pPr>
            <w:r>
              <w:rPr>
                <w:rFonts w:hint="eastAsia" w:ascii="宋体" w:hAnsi="宋体"/>
                <w:sz w:val="24"/>
              </w:rPr>
              <w:t>交易价款</w:t>
            </w:r>
          </w:p>
          <w:p>
            <w:pPr>
              <w:jc w:val="center"/>
              <w:rPr>
                <w:rFonts w:hint="eastAsia" w:ascii="宋体" w:hAnsi="宋体" w:eastAsia="宋体"/>
                <w:sz w:val="24"/>
                <w:lang w:val="en-US" w:eastAsia="zh-CN"/>
              </w:rPr>
            </w:pPr>
            <w:r>
              <w:rPr>
                <w:rFonts w:hint="eastAsia" w:ascii="宋体" w:hAnsi="宋体"/>
                <w:sz w:val="24"/>
              </w:rPr>
              <w:t>结算</w:t>
            </w:r>
            <w:r>
              <w:rPr>
                <w:rFonts w:hint="eastAsia" w:ascii="宋体" w:hAnsi="宋体"/>
                <w:sz w:val="24"/>
                <w:lang w:val="en-US" w:eastAsia="zh-CN"/>
              </w:rPr>
              <w:t>方式</w:t>
            </w:r>
          </w:p>
        </w:tc>
        <w:tc>
          <w:tcPr>
            <w:tcW w:w="6037" w:type="dxa"/>
            <w:noWrap w:val="0"/>
            <w:vAlign w:val="center"/>
          </w:tcPr>
          <w:p>
            <w:pPr>
              <w:widowControl/>
              <w:spacing w:line="300" w:lineRule="atLeast"/>
              <w:jc w:val="left"/>
              <w:rPr>
                <w:rFonts w:ascii="宋体" w:hAnsi="宋体"/>
                <w:sz w:val="24"/>
              </w:rPr>
            </w:pPr>
            <w:r>
              <w:rPr>
                <w:rFonts w:hint="eastAsia" w:ascii="宋体" w:hAnsi="宋体" w:cs="宋体"/>
                <w:sz w:val="24"/>
              </w:rPr>
              <w:t>□ A.由北交所托管结算   □ B.自行结算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5" w:hRule="atLeast"/>
          <w:jc w:val="center"/>
        </w:trPr>
        <w:tc>
          <w:tcPr>
            <w:tcW w:w="1283" w:type="dxa"/>
            <w:noWrap w:val="0"/>
            <w:vAlign w:val="center"/>
          </w:tcPr>
          <w:p>
            <w:pPr>
              <w:jc w:val="center"/>
              <w:rPr>
                <w:rFonts w:ascii="宋体" w:hAnsi="宋体"/>
                <w:b/>
                <w:sz w:val="24"/>
              </w:rPr>
            </w:pPr>
            <w:bookmarkStart w:id="6" w:name="OLE_LINK12"/>
            <w:bookmarkStart w:id="7" w:name="OLE_LINK11"/>
            <w:r>
              <w:rPr>
                <w:rFonts w:hint="eastAsia" w:ascii="宋体" w:hAnsi="宋体"/>
                <w:b/>
                <w:sz w:val="24"/>
              </w:rPr>
              <w:t>受让方</w:t>
            </w:r>
          </w:p>
          <w:p>
            <w:pPr>
              <w:jc w:val="center"/>
              <w:rPr>
                <w:rFonts w:ascii="宋体" w:hAnsi="宋体"/>
                <w:b/>
                <w:sz w:val="24"/>
              </w:rPr>
            </w:pPr>
            <w:r>
              <w:rPr>
                <w:rFonts w:hint="eastAsia" w:ascii="宋体" w:hAnsi="宋体"/>
                <w:b/>
                <w:sz w:val="24"/>
              </w:rPr>
              <w:t>资格条件</w:t>
            </w:r>
          </w:p>
        </w:tc>
        <w:tc>
          <w:tcPr>
            <w:tcW w:w="8149" w:type="dxa"/>
            <w:gridSpan w:val="2"/>
            <w:noWrap w:val="0"/>
            <w:vAlign w:val="center"/>
          </w:tcPr>
          <w:p>
            <w:pPr>
              <w:widowControl/>
              <w:spacing w:line="300" w:lineRule="atLeast"/>
              <w:jc w:val="left"/>
              <w:rPr>
                <w:rFonts w:ascii="宋体" w:hAnsi="宋体" w:cs="宋体"/>
                <w:kern w:val="0"/>
                <w:sz w:val="24"/>
              </w:rPr>
            </w:pPr>
            <w:r>
              <w:rPr>
                <w:rFonts w:hint="eastAsia" w:ascii="宋体" w:hAnsi="宋体" w:cs="宋体"/>
                <w:kern w:val="0"/>
                <w:sz w:val="24"/>
              </w:rPr>
              <w:t>1、意向受让方应为依法设立并有效存续的法人、</w:t>
            </w:r>
            <w:r>
              <w:rPr>
                <w:rFonts w:ascii="宋体" w:hAnsi="宋体" w:cs="宋体"/>
                <w:kern w:val="0"/>
                <w:sz w:val="24"/>
              </w:rPr>
              <w:t>非法人组织或具有完全民事行为能力的自然人</w:t>
            </w:r>
            <w:r>
              <w:rPr>
                <w:rFonts w:hint="eastAsia" w:ascii="宋体" w:hAnsi="宋体" w:cs="宋体"/>
                <w:kern w:val="0"/>
                <w:sz w:val="24"/>
              </w:rPr>
              <w:t>；</w:t>
            </w:r>
          </w:p>
          <w:p>
            <w:pPr>
              <w:widowControl/>
              <w:spacing w:line="300" w:lineRule="atLeast"/>
              <w:jc w:val="left"/>
              <w:rPr>
                <w:rFonts w:ascii="宋体" w:hAnsi="宋体" w:cs="宋体"/>
                <w:kern w:val="0"/>
                <w:sz w:val="24"/>
              </w:rPr>
            </w:pPr>
            <w:r>
              <w:rPr>
                <w:rFonts w:hint="eastAsia" w:ascii="宋体" w:hAnsi="宋体" w:cs="宋体"/>
                <w:kern w:val="0"/>
                <w:sz w:val="24"/>
              </w:rPr>
              <w:t>2、意向受让方应具有良好的商业信用；</w:t>
            </w:r>
          </w:p>
          <w:p>
            <w:pPr>
              <w:widowControl/>
              <w:spacing w:line="300" w:lineRule="atLeast"/>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、意向受让方不得</w:t>
            </w:r>
            <w:r>
              <w:rPr>
                <w:rFonts w:ascii="宋体" w:hAnsi="宋体" w:cs="宋体"/>
                <w:kern w:val="0"/>
                <w:sz w:val="24"/>
              </w:rPr>
              <w:t>为</w:t>
            </w:r>
            <w:r>
              <w:rPr>
                <w:rFonts w:hint="eastAsia" w:ascii="宋体" w:hAnsi="宋体" w:cs="宋体"/>
                <w:kern w:val="0"/>
                <w:sz w:val="24"/>
              </w:rPr>
              <w:t>国家公务员、金融监管机构工作人员、政法干警、金融资产管理公司工作人员、国有企业债务人管理人员、参与资产处置工作的律师、会计师、评估师等中介机构等关联人或者上述关联人参与的非金融机构法人；以及与不良债权转让的金融资产管理公司工作人员、国有企业债务人或者受托资产评估机构负责人员等有直系亲属关系的人员；</w:t>
            </w:r>
          </w:p>
          <w:p>
            <w:pPr>
              <w:widowControl/>
              <w:spacing w:line="300" w:lineRule="atLeast"/>
              <w:jc w:val="left"/>
              <w:rPr>
                <w:rFonts w:ascii="宋体" w:hAnsi="宋体"/>
                <w:sz w:val="24"/>
              </w:rPr>
            </w:pPr>
            <w:r>
              <w:rPr>
                <w:rFonts w:ascii="宋体" w:hAnsi="宋体" w:cs="宋体"/>
                <w:kern w:val="0"/>
                <w:sz w:val="24"/>
              </w:rPr>
              <w:t>4</w:t>
            </w:r>
            <w:r>
              <w:rPr>
                <w:rFonts w:hint="eastAsia" w:ascii="宋体" w:hAnsi="宋体" w:cs="宋体"/>
                <w:kern w:val="0"/>
                <w:sz w:val="24"/>
              </w:rPr>
              <w:t>、符合国家法律、法规规定的其他条件。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63" w:hRule="atLeast"/>
          <w:jc w:val="center"/>
        </w:trPr>
        <w:tc>
          <w:tcPr>
            <w:tcW w:w="1283" w:type="dxa"/>
            <w:noWrap w:val="0"/>
            <w:vAlign w:val="center"/>
          </w:tcPr>
          <w:p>
            <w:pPr>
              <w:jc w:val="center"/>
              <w:rPr>
                <w:rFonts w:ascii="宋体" w:hAnsi="宋体"/>
                <w:b/>
                <w:sz w:val="24"/>
              </w:rPr>
            </w:pPr>
            <w:r>
              <w:rPr>
                <w:rFonts w:hint="eastAsia" w:ascii="宋体" w:hAnsi="宋体"/>
                <w:b/>
                <w:sz w:val="24"/>
              </w:rPr>
              <w:t>保证金</w:t>
            </w:r>
          </w:p>
          <w:p>
            <w:pPr>
              <w:jc w:val="center"/>
              <w:rPr>
                <w:rFonts w:ascii="宋体" w:hAnsi="宋体"/>
                <w:b/>
                <w:sz w:val="24"/>
              </w:rPr>
            </w:pPr>
            <w:r>
              <w:rPr>
                <w:rFonts w:hint="eastAsia" w:ascii="宋体" w:hAnsi="宋体"/>
                <w:b/>
                <w:sz w:val="24"/>
              </w:rPr>
              <w:t>设定</w:t>
            </w:r>
          </w:p>
        </w:tc>
        <w:tc>
          <w:tcPr>
            <w:tcW w:w="8149" w:type="dxa"/>
            <w:gridSpan w:val="2"/>
            <w:noWrap w:val="0"/>
            <w:vAlign w:val="center"/>
          </w:tcPr>
          <w:p>
            <w:pPr>
              <w:widowControl/>
              <w:spacing w:line="300" w:lineRule="atLeast"/>
              <w:jc w:val="left"/>
              <w:rPr>
                <w:rFonts w:ascii="宋体" w:hAnsi="宋体"/>
                <w:sz w:val="24"/>
              </w:rPr>
            </w:pPr>
            <w:r>
              <w:rPr>
                <w:rFonts w:hint="eastAsia" w:ascii="宋体" w:hAnsi="宋体"/>
                <w:sz w:val="24"/>
              </w:rPr>
              <w:t>1、交纳金额：</w:t>
            </w:r>
            <w:r>
              <w:rPr>
                <w:rFonts w:ascii="宋体" w:hAnsi="宋体"/>
                <w:sz w:val="24"/>
                <w:u w:val="single"/>
              </w:rPr>
              <w:t xml:space="preserve">    </w:t>
            </w:r>
            <w:r>
              <w:rPr>
                <w:rFonts w:hint="eastAsia" w:ascii="宋体" w:hAnsi="宋体"/>
                <w:sz w:val="24"/>
              </w:rPr>
              <w:t>万元。</w:t>
            </w:r>
          </w:p>
          <w:p>
            <w:pPr>
              <w:widowControl/>
              <w:spacing w:line="300" w:lineRule="atLeast"/>
              <w:jc w:val="left"/>
              <w:rPr>
                <w:rFonts w:ascii="宋体" w:hAnsi="宋体"/>
                <w:sz w:val="24"/>
              </w:rPr>
            </w:pPr>
            <w:r>
              <w:rPr>
                <w:rFonts w:hint="eastAsia" w:ascii="宋体" w:hAnsi="宋体"/>
                <w:sz w:val="24"/>
              </w:rPr>
              <w:t>2、交纳截止时间：信息披露截止日下午17：00时前到账为准</w:t>
            </w:r>
          </w:p>
          <w:p>
            <w:pPr>
              <w:widowControl/>
              <w:spacing w:line="300" w:lineRule="atLeast"/>
              <w:jc w:val="left"/>
              <w:rPr>
                <w:rFonts w:ascii="宋体" w:hAnsi="宋体" w:cs="宋体"/>
                <w:sz w:val="24"/>
              </w:rPr>
            </w:pPr>
            <w:r>
              <w:rPr>
                <w:rFonts w:hint="eastAsia" w:ascii="宋体" w:hAnsi="宋体"/>
                <w:sz w:val="24"/>
              </w:rPr>
              <w:t>3、交纳方式：</w:t>
            </w:r>
            <w:r>
              <w:rPr>
                <w:rFonts w:hint="eastAsia" w:ascii="宋体" w:hAnsi="宋体" w:cs="宋体"/>
                <w:sz w:val="24"/>
              </w:rPr>
              <w:t>□A.支票 □B.电汇□C.网上银行支付</w:t>
            </w:r>
          </w:p>
          <w:p>
            <w:pPr>
              <w:widowControl/>
              <w:spacing w:line="300" w:lineRule="atLeast"/>
              <w:jc w:val="left"/>
              <w:rPr>
                <w:rFonts w:ascii="宋体" w:hAnsi="宋体"/>
                <w:sz w:val="24"/>
              </w:rPr>
            </w:pPr>
            <w:r>
              <w:rPr>
                <w:rFonts w:hint="eastAsia" w:ascii="宋体" w:hAnsi="宋体"/>
                <w:sz w:val="24"/>
              </w:rPr>
              <w:t>4、保证事项：</w:t>
            </w:r>
          </w:p>
          <w:p>
            <w:pPr>
              <w:widowControl/>
              <w:shd w:val="clear" w:color="auto" w:fill="FFFFFF"/>
              <w:spacing w:line="270" w:lineRule="atLeast"/>
              <w:ind w:firstLine="480" w:firstLineChars="200"/>
              <w:jc w:val="left"/>
              <w:rPr>
                <w:rFonts w:ascii="宋体" w:hAnsi="宋体" w:cs="宋体"/>
                <w:kern w:val="0"/>
                <w:sz w:val="24"/>
              </w:rPr>
            </w:pPr>
            <w:r>
              <w:rPr>
                <w:rFonts w:hint="eastAsia" w:ascii="宋体" w:hAnsi="宋体" w:cs="宋体"/>
                <w:kern w:val="0"/>
                <w:sz w:val="24"/>
              </w:rPr>
              <w:t>如本项目在信息披露期间只产生一家符合条件的意向受让方，则采取协议转让方式，交易保证金在债权资产交易合同签订后直接转为履约保证金。</w:t>
            </w:r>
          </w:p>
          <w:p>
            <w:pPr>
              <w:widowControl/>
              <w:shd w:val="clear" w:color="auto" w:fill="FFFFFF"/>
              <w:spacing w:line="270" w:lineRule="atLeast"/>
              <w:ind w:firstLine="480" w:firstLineChars="200"/>
              <w:jc w:val="left"/>
              <w:rPr>
                <w:rFonts w:ascii="宋体" w:hAnsi="宋体" w:cs="宋体"/>
                <w:kern w:val="0"/>
                <w:sz w:val="24"/>
              </w:rPr>
            </w:pPr>
            <w:r>
              <w:rPr>
                <w:rFonts w:hint="eastAsia" w:ascii="宋体" w:hAnsi="宋体" w:cs="宋体"/>
                <w:kern w:val="0"/>
                <w:sz w:val="24"/>
              </w:rPr>
              <w:t>（适用于需补登公告的情形）如本项目在信息披露期满后，只产生一家符合条件的意向受让方，北交所按照信息披露公告的内容延长公告时间，公告时间为7个工作日。如确定没有新的符合条件的意向受让方参与受让，则采取协议转让方式，交易保证金在债权资产交易合同签订后直接转为履约保证金。</w:t>
            </w:r>
          </w:p>
          <w:p>
            <w:pPr>
              <w:widowControl/>
              <w:shd w:val="clear" w:color="auto" w:fill="FFFFFF"/>
              <w:spacing w:line="270" w:lineRule="atLeast"/>
              <w:ind w:firstLine="480" w:firstLineChars="200"/>
              <w:jc w:val="left"/>
              <w:rPr>
                <w:rFonts w:ascii="宋体" w:hAnsi="宋体" w:cs="宋体"/>
                <w:kern w:val="0"/>
                <w:sz w:val="24"/>
              </w:rPr>
            </w:pPr>
            <w:r>
              <w:rPr>
                <w:rFonts w:hint="eastAsia" w:ascii="宋体" w:hAnsi="宋体" w:cs="宋体"/>
                <w:kern w:val="0"/>
                <w:sz w:val="24"/>
              </w:rPr>
              <w:t>如本项目信息披露期间产生两家及以上符合条件的意向受让方，则采取竞价转让方式，该交易保证金相应转为竞价保证金。</w:t>
            </w:r>
          </w:p>
          <w:p>
            <w:pPr>
              <w:widowControl/>
              <w:shd w:val="clear" w:color="auto" w:fill="FFFFFF"/>
              <w:spacing w:line="270" w:lineRule="atLeast"/>
              <w:ind w:firstLine="480" w:firstLineChars="200"/>
              <w:jc w:val="left"/>
              <w:rPr>
                <w:rFonts w:ascii="宋体" w:hAnsi="宋体" w:cs="宋体"/>
                <w:kern w:val="0"/>
                <w:sz w:val="24"/>
              </w:rPr>
            </w:pPr>
            <w:r>
              <w:rPr>
                <w:rFonts w:hint="eastAsia" w:ascii="宋体" w:hAnsi="宋体" w:cs="宋体"/>
                <w:kern w:val="0"/>
                <w:sz w:val="24"/>
              </w:rPr>
              <w:t>意向受让方被确定为受让方的，交易双方在签订债权资产交易合同后，竞价保证金相应转为履约保证金。如非转让方原因，出现以下任何一种情况时，北交所及转让方有权扣除意向受让方的保证金，优先用于补偿北交所应收取的各项服务费，剩余部分作为对转让方的补偿，保证金不足以弥补相关方损失的，相关方可进行追偿：</w:t>
            </w:r>
          </w:p>
          <w:p>
            <w:pPr>
              <w:widowControl/>
              <w:numPr>
                <w:ilvl w:val="0"/>
                <w:numId w:val="2"/>
              </w:numPr>
              <w:spacing w:line="300" w:lineRule="atLeast"/>
              <w:jc w:val="left"/>
              <w:rPr>
                <w:rFonts w:ascii="宋体" w:hAnsi="宋体" w:cs="宋体"/>
                <w:kern w:val="0"/>
                <w:sz w:val="24"/>
                <w:szCs w:val="20"/>
              </w:rPr>
            </w:pPr>
            <w:r>
              <w:rPr>
                <w:rFonts w:hint="eastAsia" w:ascii="宋体" w:hAnsi="宋体" w:cs="宋体"/>
                <w:kern w:val="0"/>
                <w:sz w:val="24"/>
                <w:szCs w:val="20"/>
              </w:rPr>
              <w:t>意向受让方存在不当行为，包括但不限于：意向受让方提供的资料和信息存在虚假、不真实、不完整、不具有效力、不符合要求等情形；</w:t>
            </w:r>
          </w:p>
          <w:p>
            <w:pPr>
              <w:widowControl/>
              <w:numPr>
                <w:ilvl w:val="0"/>
                <w:numId w:val="2"/>
              </w:numPr>
              <w:spacing w:line="300" w:lineRule="atLeast"/>
              <w:jc w:val="left"/>
              <w:rPr>
                <w:rFonts w:ascii="宋体" w:hAnsi="宋体" w:cs="宋体"/>
                <w:kern w:val="0"/>
                <w:sz w:val="24"/>
                <w:szCs w:val="20"/>
              </w:rPr>
            </w:pPr>
            <w:r>
              <w:rPr>
                <w:rFonts w:hint="eastAsia" w:ascii="宋体" w:hAnsi="宋体" w:cs="宋体"/>
                <w:kern w:val="0"/>
                <w:sz w:val="24"/>
                <w:szCs w:val="20"/>
              </w:rPr>
              <w:t>意向受让方提交受让申请并交纳保证金后单方撤回受让申请的；</w:t>
            </w:r>
          </w:p>
          <w:p>
            <w:pPr>
              <w:widowControl/>
              <w:numPr>
                <w:ilvl w:val="0"/>
                <w:numId w:val="2"/>
              </w:numPr>
              <w:spacing w:line="300" w:lineRule="atLeast"/>
              <w:jc w:val="left"/>
              <w:rPr>
                <w:rFonts w:ascii="宋体" w:hAnsi="宋体" w:cs="宋体"/>
                <w:kern w:val="0"/>
                <w:sz w:val="24"/>
                <w:szCs w:val="20"/>
              </w:rPr>
            </w:pPr>
            <w:r>
              <w:rPr>
                <w:rFonts w:hint="eastAsia" w:ascii="宋体" w:hAnsi="宋体" w:cs="宋体"/>
                <w:kern w:val="0"/>
                <w:sz w:val="24"/>
                <w:szCs w:val="20"/>
              </w:rPr>
              <w:t>若只产生一个符合条件的意向受让方，该意向受让方未在被确定为最终受让方之日起[</w:t>
            </w:r>
            <w:r>
              <w:rPr>
                <w:rFonts w:ascii="宋体" w:hAnsi="宋体" w:cs="宋体"/>
                <w:kern w:val="0"/>
                <w:sz w:val="24"/>
                <w:szCs w:val="20"/>
              </w:rPr>
              <w:t xml:space="preserve">  </w:t>
            </w:r>
            <w:r>
              <w:rPr>
                <w:rFonts w:hint="eastAsia" w:ascii="宋体" w:hAnsi="宋体" w:cs="宋体"/>
                <w:kern w:val="0"/>
                <w:sz w:val="24"/>
                <w:szCs w:val="20"/>
              </w:rPr>
              <w:t>]个工作日内与转让方签订债权资产交易合同的；</w:t>
            </w:r>
          </w:p>
          <w:p>
            <w:pPr>
              <w:widowControl/>
              <w:numPr>
                <w:ilvl w:val="0"/>
                <w:numId w:val="2"/>
              </w:numPr>
              <w:spacing w:line="300" w:lineRule="atLeast"/>
              <w:jc w:val="left"/>
              <w:rPr>
                <w:rFonts w:ascii="宋体" w:hAnsi="宋体" w:cs="宋体"/>
                <w:kern w:val="0"/>
                <w:sz w:val="24"/>
                <w:szCs w:val="20"/>
              </w:rPr>
            </w:pPr>
            <w:r>
              <w:rPr>
                <w:rFonts w:hint="eastAsia" w:ascii="宋体" w:hAnsi="宋体" w:cs="宋体"/>
                <w:kern w:val="0"/>
                <w:sz w:val="24"/>
                <w:szCs w:val="20"/>
              </w:rPr>
              <w:t>若产生两个或两个以上符合条件的意向受让方时未参加后续竞价程序</w:t>
            </w:r>
            <w:r>
              <w:rPr>
                <w:rFonts w:hint="eastAsia" w:ascii="宋体" w:hAnsi="宋体" w:cs="宋体"/>
                <w:sz w:val="24"/>
                <w:szCs w:val="20"/>
              </w:rPr>
              <w:t xml:space="preserve"> 或</w:t>
            </w:r>
            <w:r>
              <w:rPr>
                <w:rFonts w:hint="eastAsia" w:ascii="宋体" w:hAnsi="宋体" w:cs="宋体"/>
                <w:kern w:val="0"/>
                <w:sz w:val="24"/>
                <w:szCs w:val="20"/>
              </w:rPr>
              <w:t>在竞价过程中，各竞买人均不应价的；</w:t>
            </w:r>
          </w:p>
          <w:p>
            <w:pPr>
              <w:widowControl/>
              <w:numPr>
                <w:ilvl w:val="0"/>
                <w:numId w:val="2"/>
              </w:numPr>
              <w:spacing w:line="300" w:lineRule="atLeast"/>
              <w:jc w:val="left"/>
              <w:rPr>
                <w:rFonts w:ascii="宋体" w:hAnsi="宋体" w:cs="宋体"/>
                <w:kern w:val="0"/>
                <w:sz w:val="24"/>
                <w:szCs w:val="20"/>
              </w:rPr>
            </w:pPr>
            <w:r>
              <w:rPr>
                <w:rFonts w:hint="eastAsia" w:ascii="宋体" w:hAnsi="宋体" w:cs="宋体"/>
                <w:kern w:val="0"/>
                <w:sz w:val="24"/>
                <w:szCs w:val="20"/>
              </w:rPr>
              <w:t>竞价结束后，意向受让方未能在被确定为最终受让方之日起[</w:t>
            </w:r>
            <w:r>
              <w:rPr>
                <w:rFonts w:ascii="宋体" w:hAnsi="宋体" w:cs="宋体"/>
                <w:kern w:val="0"/>
                <w:sz w:val="24"/>
                <w:szCs w:val="20"/>
              </w:rPr>
              <w:t xml:space="preserve">  </w:t>
            </w:r>
            <w:r>
              <w:rPr>
                <w:rFonts w:hint="eastAsia" w:ascii="宋体" w:hAnsi="宋体" w:cs="宋体"/>
                <w:kern w:val="0"/>
                <w:sz w:val="24"/>
                <w:szCs w:val="20"/>
              </w:rPr>
              <w:t>]个工作日内与转让方签订债权资产交易合同的；</w:t>
            </w:r>
          </w:p>
          <w:p>
            <w:pPr>
              <w:widowControl/>
              <w:numPr>
                <w:ilvl w:val="0"/>
                <w:numId w:val="2"/>
              </w:numPr>
              <w:spacing w:line="300" w:lineRule="atLeast"/>
              <w:jc w:val="left"/>
              <w:rPr>
                <w:rFonts w:ascii="宋体" w:hAnsi="宋体" w:cs="宋体"/>
                <w:color w:val="000000"/>
                <w:kern w:val="0"/>
                <w:sz w:val="24"/>
                <w:szCs w:val="20"/>
              </w:rPr>
            </w:pPr>
            <w:r>
              <w:rPr>
                <w:rFonts w:hint="eastAsia" w:ascii="宋体" w:hAnsi="宋体" w:cs="宋体"/>
                <w:kern w:val="0"/>
                <w:sz w:val="24"/>
                <w:szCs w:val="20"/>
              </w:rPr>
              <w:t>债权资产交易合同签订后次日起[</w:t>
            </w:r>
            <w:r>
              <w:rPr>
                <w:rFonts w:ascii="宋体" w:hAnsi="宋体" w:cs="宋体"/>
                <w:kern w:val="0"/>
                <w:sz w:val="24"/>
                <w:szCs w:val="20"/>
              </w:rPr>
              <w:t xml:space="preserve">  </w:t>
            </w:r>
            <w:r>
              <w:rPr>
                <w:rFonts w:hint="eastAsia" w:ascii="宋体" w:hAnsi="宋体" w:cs="宋体"/>
                <w:kern w:val="0"/>
                <w:sz w:val="24"/>
                <w:szCs w:val="20"/>
              </w:rPr>
              <w:t>]</w:t>
            </w:r>
            <w:r>
              <w:rPr>
                <w:rFonts w:hint="eastAsia" w:ascii="宋体" w:hAnsi="宋体" w:cs="宋体"/>
                <w:color w:val="000000"/>
                <w:kern w:val="0"/>
                <w:sz w:val="24"/>
                <w:szCs w:val="20"/>
              </w:rPr>
              <w:t>个工作日内未向北交所交纳服务费的。</w:t>
            </w:r>
          </w:p>
          <w:p>
            <w:pPr>
              <w:widowControl/>
              <w:spacing w:line="300" w:lineRule="atLeast"/>
              <w:jc w:val="left"/>
              <w:rPr>
                <w:rFonts w:hint="eastAsia" w:ascii="宋体" w:hAnsi="宋体" w:eastAsia="宋体" w:cs="宋体"/>
                <w:sz w:val="24"/>
                <w:szCs w:val="24"/>
              </w:rPr>
            </w:pPr>
            <w:r>
              <w:rPr>
                <w:rFonts w:hint="eastAsia" w:ascii="宋体" w:hAnsi="宋体" w:cs="宋体"/>
                <w:sz w:val="24"/>
              </w:rPr>
              <w:t>5、</w:t>
            </w:r>
            <w:r>
              <w:rPr>
                <w:rFonts w:hint="eastAsia" w:ascii="宋体" w:hAnsi="宋体" w:eastAsia="宋体" w:cs="宋体"/>
                <w:sz w:val="24"/>
                <w:szCs w:val="24"/>
              </w:rPr>
              <w:t>处置方法：</w:t>
            </w:r>
          </w:p>
          <w:p>
            <w:pPr>
              <w:widowControl/>
              <w:spacing w:line="300" w:lineRule="atLeast"/>
              <w:jc w:val="left"/>
              <w:rPr>
                <w:rFonts w:hint="eastAsia" w:ascii="宋体" w:hAnsi="宋体" w:eastAsia="宋体" w:cs="宋体"/>
                <w:kern w:val="0"/>
                <w:sz w:val="24"/>
                <w:szCs w:val="24"/>
              </w:rPr>
            </w:pPr>
            <w:r>
              <w:rPr>
                <w:rFonts w:hint="eastAsia" w:ascii="宋体" w:hAnsi="宋体" w:eastAsia="宋体" w:cs="宋体"/>
                <w:color w:val="333333"/>
                <w:sz w:val="24"/>
                <w:szCs w:val="24"/>
                <w:shd w:val="clear" w:color="auto" w:fill="FFFFFF"/>
              </w:rPr>
              <w:t>（1）意向受让方或受让方不存在上述“保证事项”中北交所及转让方有权扣收保证金情形的，在转受让双方完成债权</w:t>
            </w:r>
            <w:r>
              <w:rPr>
                <w:rFonts w:hint="eastAsia" w:ascii="宋体" w:hAnsi="宋体" w:eastAsia="宋体" w:cs="宋体"/>
                <w:color w:val="333333"/>
                <w:sz w:val="24"/>
                <w:szCs w:val="24"/>
                <w:shd w:val="clear" w:color="auto" w:fill="FFFFFF"/>
                <w:lang w:val="en-US" w:eastAsia="zh-CN"/>
              </w:rPr>
              <w:t>资产交易合同</w:t>
            </w:r>
            <w:r>
              <w:rPr>
                <w:rFonts w:hint="eastAsia" w:ascii="宋体" w:hAnsi="宋体" w:eastAsia="宋体" w:cs="宋体"/>
                <w:color w:val="333333"/>
                <w:sz w:val="24"/>
                <w:szCs w:val="24"/>
                <w:shd w:val="clear" w:color="auto" w:fill="FFFFFF"/>
              </w:rPr>
              <w:t>签订、且</w:t>
            </w:r>
            <w:r>
              <w:rPr>
                <w:rFonts w:hint="eastAsia" w:ascii="宋体" w:hAnsi="宋体" w:eastAsia="宋体" w:cs="宋体"/>
                <w:color w:val="333333"/>
                <w:sz w:val="24"/>
                <w:szCs w:val="24"/>
                <w:shd w:val="clear" w:color="auto" w:fill="FFFFFF"/>
                <w:lang w:val="en-US" w:eastAsia="zh-CN"/>
              </w:rPr>
              <w:t>北交所已向交易双方出具交易凭证</w:t>
            </w:r>
            <w:r>
              <w:rPr>
                <w:rFonts w:hint="eastAsia" w:ascii="宋体" w:hAnsi="宋体" w:eastAsia="宋体" w:cs="宋体"/>
                <w:color w:val="333333"/>
                <w:sz w:val="24"/>
                <w:szCs w:val="24"/>
                <w:shd w:val="clear" w:color="auto" w:fill="FFFFFF"/>
              </w:rPr>
              <w:t>后，北交所在转让方向北交所出具保证金划款函起[</w:t>
            </w:r>
            <w:r>
              <w:rPr>
                <w:rFonts w:hint="eastAsia" w:ascii="宋体" w:hAnsi="宋体" w:eastAsia="宋体" w:cs="宋体"/>
                <w:color w:val="333333"/>
                <w:sz w:val="24"/>
                <w:szCs w:val="24"/>
                <w:shd w:val="clear" w:color="auto" w:fill="FFFFFF"/>
                <w:lang w:val="en-US" w:eastAsia="zh-CN"/>
              </w:rPr>
              <w:t xml:space="preserve">  </w:t>
            </w:r>
            <w:r>
              <w:rPr>
                <w:rFonts w:hint="eastAsia" w:ascii="宋体" w:hAnsi="宋体" w:eastAsia="宋体" w:cs="宋体"/>
                <w:color w:val="333333"/>
                <w:sz w:val="24"/>
                <w:szCs w:val="24"/>
                <w:shd w:val="clear" w:color="auto" w:fill="FFFFFF"/>
              </w:rPr>
              <w:t>]个工作日内划付至转让方指定账户；</w:t>
            </w:r>
          </w:p>
          <w:p>
            <w:pPr>
              <w:widowControl/>
              <w:spacing w:line="300" w:lineRule="atLeast"/>
              <w:jc w:val="left"/>
              <w:rPr>
                <w:rFonts w:ascii="宋体" w:hAnsi="宋体" w:cs="宋体"/>
                <w:kern w:val="0"/>
                <w:szCs w:val="21"/>
              </w:rPr>
            </w:pPr>
            <w:r>
              <w:rPr>
                <w:rFonts w:hint="eastAsia" w:ascii="宋体" w:hAnsi="宋体" w:eastAsia="宋体" w:cs="宋体"/>
                <w:kern w:val="0"/>
                <w:sz w:val="24"/>
                <w:szCs w:val="24"/>
              </w:rPr>
              <w:t>（2）未被确认为受让方的其他意向受让方无上述“保证事项”中任何行为，其保证金将在北交所收到意向受让方提交的保证金退款申</w:t>
            </w:r>
            <w:r>
              <w:rPr>
                <w:rFonts w:hint="eastAsia" w:ascii="宋体" w:hAnsi="宋体" w:eastAsia="宋体" w:cs="宋体"/>
                <w:sz w:val="24"/>
                <w:szCs w:val="24"/>
              </w:rPr>
              <w:t>请函[</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]个</w:t>
            </w:r>
            <w:r>
              <w:rPr>
                <w:rFonts w:hint="eastAsia" w:ascii="宋体" w:hAnsi="宋体" w:eastAsia="宋体" w:cs="宋体"/>
                <w:kern w:val="0"/>
                <w:sz w:val="24"/>
                <w:szCs w:val="24"/>
              </w:rPr>
              <w:t>工作日内原金额原路返还。</w:t>
            </w:r>
          </w:p>
          <w:bookmarkEnd w:id="6"/>
          <w:bookmarkEnd w:id="7"/>
        </w:tc>
      </w:tr>
    </w:tbl>
    <w:p>
      <w:pPr>
        <w:tabs>
          <w:tab w:val="left" w:pos="1800"/>
        </w:tabs>
        <w:jc w:val="center"/>
        <w:rPr>
          <w:rFonts w:ascii="宋体" w:hAnsi="宋体"/>
          <w:b/>
          <w:sz w:val="24"/>
        </w:rPr>
      </w:pPr>
    </w:p>
    <w:p>
      <w:pPr>
        <w:tabs>
          <w:tab w:val="left" w:pos="1800"/>
        </w:tabs>
        <w:jc w:val="center"/>
        <w:rPr>
          <w:rFonts w:hint="eastAsia"/>
        </w:rPr>
      </w:pPr>
      <w:r>
        <w:rPr>
          <w:rFonts w:ascii="宋体" w:hAnsi="宋体"/>
          <w:b/>
          <w:sz w:val="36"/>
        </w:rPr>
        <w:br w:type="page"/>
      </w:r>
      <w:r>
        <w:rPr>
          <w:rFonts w:hint="eastAsia" w:ascii="宋体" w:hAnsi="宋体"/>
          <w:b/>
          <w:sz w:val="28"/>
        </w:rPr>
        <w:t>四、发布信息</w:t>
      </w:r>
    </w:p>
    <w:tbl>
      <w:tblPr>
        <w:tblStyle w:val="9"/>
        <w:tblW w:w="94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89"/>
        <w:gridCol w:w="71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0" w:hRule="exact"/>
          <w:jc w:val="center"/>
        </w:trPr>
        <w:tc>
          <w:tcPr>
            <w:tcW w:w="2289" w:type="dxa"/>
            <w:noWrap w:val="0"/>
            <w:vAlign w:val="center"/>
          </w:tcPr>
          <w:p>
            <w:pPr>
              <w:jc w:val="center"/>
              <w:rPr>
                <w:rFonts w:ascii="宋体" w:hAnsi="宋体"/>
                <w:b/>
                <w:sz w:val="24"/>
              </w:rPr>
            </w:pPr>
            <w:r>
              <w:rPr>
                <w:rFonts w:hint="eastAsia" w:ascii="宋体" w:hAnsi="宋体"/>
                <w:b/>
                <w:sz w:val="24"/>
              </w:rPr>
              <w:t>信息披露</w:t>
            </w:r>
            <w:r>
              <w:rPr>
                <w:rFonts w:hint="eastAsia" w:ascii="宋体" w:hAnsi="宋体"/>
                <w:b/>
                <w:sz w:val="24"/>
                <w:lang w:val="en-US" w:eastAsia="zh-CN"/>
              </w:rPr>
              <w:t>公告</w:t>
            </w:r>
            <w:r>
              <w:rPr>
                <w:rFonts w:hint="eastAsia" w:ascii="宋体" w:hAnsi="宋体"/>
                <w:b/>
                <w:sz w:val="24"/>
              </w:rPr>
              <w:t>期</w:t>
            </w:r>
          </w:p>
        </w:tc>
        <w:tc>
          <w:tcPr>
            <w:tcW w:w="7143" w:type="dxa"/>
            <w:noWrap w:val="0"/>
            <w:vAlign w:val="center"/>
          </w:tcPr>
          <w:p>
            <w:pPr>
              <w:ind w:firstLine="240" w:firstLineChars="100"/>
              <w:rPr>
                <w:rFonts w:ascii="宋体" w:hAnsi="宋体"/>
                <w:sz w:val="24"/>
              </w:rPr>
            </w:pP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 </w:t>
            </w:r>
            <w:r>
              <w:rPr>
                <w:rFonts w:hint="eastAsia" w:ascii="宋体" w:hAnsi="宋体"/>
                <w:sz w:val="24"/>
              </w:rPr>
              <w:t>个</w:t>
            </w:r>
            <w:r>
              <w:rPr>
                <w:rFonts w:hint="eastAsia" w:ascii="宋体" w:hAnsi="宋体"/>
                <w:sz w:val="24"/>
                <w:lang w:val="en-US" w:eastAsia="zh-CN"/>
              </w:rPr>
              <w:t>工作</w:t>
            </w:r>
            <w:r>
              <w:rPr>
                <w:rFonts w:hint="eastAsia" w:ascii="宋体" w:hAnsi="宋体"/>
                <w:sz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9" w:hRule="exact"/>
          <w:jc w:val="center"/>
        </w:trPr>
        <w:tc>
          <w:tcPr>
            <w:tcW w:w="2289" w:type="dxa"/>
            <w:noWrap w:val="0"/>
            <w:vAlign w:val="center"/>
          </w:tcPr>
          <w:p>
            <w:pPr>
              <w:jc w:val="center"/>
              <w:rPr>
                <w:rFonts w:ascii="宋体" w:hAnsi="宋体" w:cs="宋体"/>
                <w:b/>
                <w:kern w:val="0"/>
                <w:sz w:val="24"/>
              </w:rPr>
            </w:pPr>
            <w:r>
              <w:rPr>
                <w:rFonts w:hint="eastAsia" w:ascii="宋体" w:hAnsi="宋体" w:cs="宋体"/>
                <w:b/>
                <w:kern w:val="0"/>
                <w:sz w:val="24"/>
              </w:rPr>
              <w:t>信息披露期满后，</w:t>
            </w:r>
          </w:p>
          <w:p>
            <w:pPr>
              <w:jc w:val="center"/>
              <w:rPr>
                <w:rFonts w:ascii="宋体" w:hAnsi="宋体" w:cs="宋体"/>
                <w:b/>
                <w:kern w:val="0"/>
                <w:sz w:val="24"/>
              </w:rPr>
            </w:pPr>
            <w:r>
              <w:rPr>
                <w:rFonts w:hint="eastAsia" w:ascii="宋体" w:hAnsi="宋体" w:cs="宋体"/>
                <w:b/>
                <w:kern w:val="0"/>
                <w:sz w:val="24"/>
              </w:rPr>
              <w:t>如未征集到</w:t>
            </w:r>
          </w:p>
          <w:p>
            <w:pPr>
              <w:jc w:val="center"/>
              <w:rPr>
                <w:rFonts w:ascii="宋体" w:hAnsi="宋体"/>
                <w:sz w:val="24"/>
              </w:rPr>
            </w:pPr>
            <w:r>
              <w:rPr>
                <w:rFonts w:hint="eastAsia" w:ascii="宋体" w:hAnsi="宋体" w:cs="宋体"/>
                <w:b/>
                <w:kern w:val="0"/>
                <w:sz w:val="24"/>
              </w:rPr>
              <w:t>意向</w:t>
            </w:r>
            <w:r>
              <w:rPr>
                <w:rFonts w:hint="eastAsia" w:ascii="宋体" w:hAnsi="宋体" w:cs="宋体"/>
                <w:b/>
                <w:kern w:val="0"/>
                <w:sz w:val="24"/>
                <w:lang w:val="en-US" w:eastAsia="zh-CN"/>
              </w:rPr>
              <w:t>受让</w:t>
            </w:r>
            <w:r>
              <w:rPr>
                <w:rFonts w:hint="eastAsia" w:ascii="宋体" w:hAnsi="宋体" w:cs="宋体"/>
                <w:b/>
                <w:kern w:val="0"/>
                <w:sz w:val="24"/>
              </w:rPr>
              <w:t>方</w:t>
            </w:r>
          </w:p>
        </w:tc>
        <w:tc>
          <w:tcPr>
            <w:tcW w:w="7143" w:type="dxa"/>
            <w:noWrap w:val="0"/>
            <w:vAlign w:val="center"/>
          </w:tcPr>
          <w:p>
            <w:pPr>
              <w:ind w:firstLine="240" w:firstLineChars="100"/>
              <w:jc w:val="left"/>
              <w:textAlignment w:val="baseline"/>
              <w:rPr>
                <w:rFonts w:ascii="宋体" w:hAnsi="宋体" w:eastAsia="宋体" w:cs="宋体"/>
                <w:sz w:val="24"/>
              </w:rPr>
            </w:pPr>
            <w:r>
              <w:rPr>
                <w:rFonts w:hint="eastAsia" w:ascii="宋体" w:hAnsi="宋体" w:eastAsia="宋体" w:cs="宋体"/>
                <w:sz w:val="24"/>
              </w:rPr>
              <w:t>□A.信息披露终结。</w:t>
            </w:r>
          </w:p>
          <w:p>
            <w:pPr>
              <w:ind w:firstLine="240" w:firstLineChars="100"/>
              <w:jc w:val="left"/>
              <w:textAlignment w:val="baseline"/>
              <w:rPr>
                <w:rFonts w:ascii="宋体" w:hAnsi="宋体" w:eastAsia="宋体" w:cs="宋体"/>
                <w:sz w:val="24"/>
              </w:rPr>
            </w:pPr>
            <w:r>
              <w:rPr>
                <w:rFonts w:hint="eastAsia" w:ascii="宋体" w:hAnsi="宋体" w:eastAsia="宋体" w:cs="宋体"/>
                <w:sz w:val="24"/>
              </w:rPr>
              <w:t>□B.延长信息披露：</w:t>
            </w:r>
          </w:p>
          <w:p>
            <w:pPr>
              <w:ind w:firstLine="240" w:firstLineChars="100"/>
              <w:jc w:val="left"/>
              <w:textAlignment w:val="baseline"/>
              <w:rPr>
                <w:rFonts w:ascii="宋体" w:hAnsi="宋体" w:eastAsia="宋体" w:cs="宋体"/>
                <w:sz w:val="24"/>
              </w:rPr>
            </w:pPr>
            <w:r>
              <w:rPr>
                <w:rFonts w:hint="eastAsia" w:ascii="宋体" w:hAnsi="宋体" w:eastAsia="宋体" w:cs="宋体"/>
                <w:sz w:val="24"/>
              </w:rPr>
              <w:t>不变更披露内容，按照</w:t>
            </w:r>
            <w:r>
              <w:rPr>
                <w:rFonts w:hint="eastAsia" w:ascii="宋体" w:hAnsi="宋体" w:eastAsia="宋体" w:cs="宋体"/>
                <w:sz w:val="24"/>
                <w:u w:val="single"/>
              </w:rPr>
              <w:t xml:space="preserve">  </w:t>
            </w:r>
            <w:r>
              <w:rPr>
                <w:rFonts w:hint="eastAsia" w:ascii="宋体" w:hAnsi="宋体" w:eastAsia="宋体" w:cs="宋体"/>
                <w:sz w:val="24"/>
              </w:rPr>
              <w:t>个工作日或__个自然日为一个周期延长</w:t>
            </w:r>
            <w:r>
              <w:rPr>
                <w:rFonts w:hint="eastAsia" w:ascii="宋体" w:hAnsi="宋体" w:cs="宋体"/>
                <w:sz w:val="24"/>
                <w:lang w:eastAsia="zh-CN"/>
              </w:rPr>
              <w:t>：</w:t>
            </w:r>
            <w:r>
              <w:rPr>
                <w:rFonts w:hint="eastAsia" w:ascii="宋体" w:hAnsi="宋体" w:eastAsia="宋体" w:cs="宋体"/>
                <w:sz w:val="24"/>
              </w:rPr>
              <w:t xml:space="preserve"> </w:t>
            </w:r>
          </w:p>
          <w:p>
            <w:pPr>
              <w:ind w:firstLine="480" w:firstLineChars="200"/>
              <w:jc w:val="left"/>
              <w:textAlignment w:val="baseline"/>
              <w:rPr>
                <w:rFonts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 xml:space="preserve">直至征集到意向受让方。 </w:t>
            </w:r>
          </w:p>
          <w:p>
            <w:pPr>
              <w:ind w:firstLine="480" w:firstLineChars="200"/>
              <w:jc w:val="left"/>
              <w:textAlignment w:val="baseline"/>
              <w:rPr>
                <w:rFonts w:ascii="宋体" w:hAnsi="宋体" w:eastAsia="宋体" w:cs="宋体"/>
                <w:sz w:val="24"/>
              </w:rPr>
            </w:pPr>
            <w:r>
              <w:rPr>
                <w:rFonts w:hint="eastAsia" w:ascii="宋体" w:hAnsi="宋体" w:eastAsia="宋体" w:cs="宋体"/>
                <w:sz w:val="24"/>
              </w:rPr>
              <w:t>□最多延长</w:t>
            </w:r>
            <w:r>
              <w:rPr>
                <w:rFonts w:hint="eastAsia" w:ascii="宋体" w:hAnsi="宋体" w:eastAsia="宋体" w:cs="宋体"/>
                <w:sz w:val="24"/>
                <w:u w:val="single"/>
              </w:rPr>
              <w:t xml:space="preserve">    </w:t>
            </w:r>
            <w:r>
              <w:rPr>
                <w:rFonts w:hint="eastAsia" w:ascii="宋体" w:hAnsi="宋体" w:eastAsia="宋体" w:cs="宋体"/>
                <w:sz w:val="24"/>
              </w:rPr>
              <w:t>个周期（两选其一）。</w:t>
            </w:r>
          </w:p>
          <w:p>
            <w:pPr>
              <w:ind w:firstLine="240" w:firstLineChars="100"/>
              <w:jc w:val="left"/>
              <w:textAlignment w:val="baseline"/>
              <w:rPr>
                <w:rFonts w:ascii="宋体" w:hAnsi="宋体" w:eastAsia="宋体" w:cs="宋体"/>
                <w:sz w:val="24"/>
              </w:rPr>
            </w:pPr>
            <w:r>
              <w:rPr>
                <w:rFonts w:hint="eastAsia" w:ascii="宋体" w:hAnsi="宋体" w:eastAsia="宋体" w:cs="宋体"/>
                <w:sz w:val="24"/>
              </w:rPr>
              <w:t>□C.变更披露内容,重新申请信息披露。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6" w:hRule="exact"/>
          <w:jc w:val="center"/>
        </w:trPr>
        <w:tc>
          <w:tcPr>
            <w:tcW w:w="2289" w:type="dxa"/>
            <w:noWrap w:val="0"/>
            <w:vAlign w:val="center"/>
          </w:tcPr>
          <w:p>
            <w:pPr>
              <w:jc w:val="center"/>
              <w:rPr>
                <w:rFonts w:hint="eastAsia" w:ascii="宋体" w:hAnsi="宋体" w:cs="宋体"/>
                <w:b/>
                <w:kern w:val="0"/>
                <w:sz w:val="24"/>
              </w:rPr>
            </w:pPr>
            <w:r>
              <w:rPr>
                <w:rFonts w:hint="eastAsia" w:ascii="宋体" w:hAnsi="宋体" w:cs="宋体"/>
                <w:b/>
                <w:kern w:val="0"/>
                <w:sz w:val="24"/>
              </w:rPr>
              <w:t>信息披露期满后，如征集到1个</w:t>
            </w:r>
          </w:p>
          <w:p>
            <w:pPr>
              <w:jc w:val="center"/>
              <w:rPr>
                <w:rFonts w:ascii="宋体" w:hAnsi="宋体" w:cs="宋体"/>
                <w:b/>
                <w:kern w:val="0"/>
                <w:sz w:val="24"/>
              </w:rPr>
            </w:pPr>
            <w:r>
              <w:rPr>
                <w:rFonts w:hint="eastAsia" w:ascii="宋体" w:hAnsi="宋体" w:cs="宋体"/>
                <w:b/>
                <w:kern w:val="0"/>
                <w:sz w:val="24"/>
              </w:rPr>
              <w:t>意向受让方</w:t>
            </w:r>
          </w:p>
        </w:tc>
        <w:tc>
          <w:tcPr>
            <w:tcW w:w="7143" w:type="dxa"/>
            <w:noWrap w:val="0"/>
            <w:vAlign w:val="center"/>
          </w:tcPr>
          <w:p>
            <w:pPr>
              <w:jc w:val="left"/>
              <w:rPr>
                <w:rFonts w:hint="default" w:ascii="宋体" w:hAnsi="宋体" w:eastAsia="宋体" w:cs="宋体"/>
                <w:sz w:val="24"/>
                <w:lang w:val="en-US" w:eastAsia="zh-CN"/>
              </w:rPr>
            </w:pPr>
            <w:r>
              <w:rPr>
                <w:rFonts w:hint="eastAsia" w:ascii="宋体" w:hAnsi="宋体" w:eastAsia="宋体" w:cs="宋体"/>
                <w:sz w:val="24"/>
              </w:rPr>
              <w:t>□</w:t>
            </w:r>
            <w:r>
              <w:rPr>
                <w:rFonts w:hint="eastAsia"/>
                <w:sz w:val="24"/>
                <w:lang w:val="en-US" w:eastAsia="zh-CN"/>
              </w:rPr>
              <w:t>协议成交</w:t>
            </w:r>
          </w:p>
          <w:p>
            <w:pPr>
              <w:jc w:val="left"/>
              <w:rPr>
                <w:sz w:val="24"/>
              </w:rPr>
            </w:pPr>
            <w:r>
              <w:rPr>
                <w:rFonts w:hint="eastAsia" w:ascii="宋体" w:hAnsi="宋体" w:eastAsia="宋体" w:cs="宋体"/>
                <w:sz w:val="24"/>
                <w:lang w:eastAsia="zh-CN"/>
              </w:rPr>
              <w:t>□</w:t>
            </w:r>
            <w:r>
              <w:rPr>
                <w:rFonts w:hint="eastAsia"/>
                <w:sz w:val="24"/>
              </w:rPr>
              <w:t>不变更披露内容，延长信息披露期7个工作日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49" w:hRule="exact"/>
          <w:jc w:val="center"/>
        </w:trPr>
        <w:tc>
          <w:tcPr>
            <w:tcW w:w="2289" w:type="dxa"/>
            <w:noWrap w:val="0"/>
            <w:vAlign w:val="center"/>
          </w:tcPr>
          <w:p>
            <w:pPr>
              <w:jc w:val="center"/>
              <w:rPr>
                <w:rFonts w:ascii="宋体" w:hAnsi="宋体" w:cs="宋体"/>
                <w:b/>
                <w:kern w:val="0"/>
                <w:sz w:val="24"/>
              </w:rPr>
            </w:pPr>
            <w:r>
              <w:rPr>
                <w:rFonts w:hint="eastAsia" w:ascii="宋体" w:hAnsi="宋体"/>
                <w:b/>
                <w:sz w:val="24"/>
              </w:rPr>
              <w:t>遴选方式</w:t>
            </w:r>
          </w:p>
        </w:tc>
        <w:tc>
          <w:tcPr>
            <w:tcW w:w="7143" w:type="dxa"/>
            <w:noWrap w:val="0"/>
            <w:vAlign w:val="center"/>
          </w:tcPr>
          <w:p>
            <w:pPr>
              <w:spacing w:line="360" w:lineRule="exact"/>
              <w:textAlignment w:val="baseline"/>
              <w:rPr>
                <w:sz w:val="24"/>
                <w:szCs w:val="32"/>
              </w:rPr>
            </w:pPr>
            <w:r>
              <w:rPr>
                <w:rFonts w:hint="eastAsia" w:ascii="宋体" w:hAnsi="宋体" w:eastAsia="宋体" w:cs="宋体"/>
                <w:sz w:val="24"/>
              </w:rPr>
              <w:t>□</w:t>
            </w:r>
            <w:r>
              <w:rPr>
                <w:rFonts w:hint="eastAsia"/>
                <w:sz w:val="24"/>
                <w:szCs w:val="32"/>
              </w:rPr>
              <w:t>1、信息披露期满，如征集到两个及以上符合条件的意向受让方，选择以下竞价方式：</w:t>
            </w:r>
          </w:p>
          <w:p>
            <w:pPr>
              <w:spacing w:line="360" w:lineRule="exact"/>
              <w:ind w:firstLine="480" w:firstLineChars="200"/>
              <w:jc w:val="left"/>
              <w:textAlignment w:val="baseline"/>
              <w:rPr>
                <w:rFonts w:ascii="宋体" w:hAnsi="宋体" w:eastAsia="宋体" w:cs="宋体"/>
                <w:sz w:val="24"/>
                <w:szCs w:val="32"/>
              </w:rPr>
            </w:pPr>
            <w:r>
              <w:rPr>
                <w:rFonts w:hint="eastAsia" w:ascii="宋体" w:hAnsi="宋体" w:eastAsia="宋体" w:cs="宋体"/>
                <w:sz w:val="24"/>
              </w:rPr>
              <w:t>□</w:t>
            </w:r>
            <w:r>
              <w:rPr>
                <w:rFonts w:hint="eastAsia" w:ascii="宋体" w:hAnsi="宋体" w:eastAsia="宋体" w:cs="宋体"/>
                <w:sz w:val="24"/>
                <w:szCs w:val="32"/>
              </w:rPr>
              <w:t>A.网络竞价（</w:t>
            </w:r>
            <w:r>
              <w:rPr>
                <w:rFonts w:hint="eastAsia" w:ascii="宋体" w:hAnsi="宋体" w:eastAsia="宋体" w:cs="宋体"/>
                <w:sz w:val="24"/>
              </w:rPr>
              <w:t>□</w:t>
            </w:r>
            <w:r>
              <w:rPr>
                <w:rFonts w:hint="eastAsia" w:ascii="宋体" w:hAnsi="宋体" w:eastAsia="宋体" w:cs="宋体"/>
                <w:sz w:val="24"/>
                <w:szCs w:val="32"/>
              </w:rPr>
              <w:t>多次报价、□一次报价）</w:t>
            </w:r>
          </w:p>
          <w:p>
            <w:pPr>
              <w:spacing w:line="360" w:lineRule="exact"/>
              <w:ind w:firstLine="480" w:firstLineChars="200"/>
              <w:jc w:val="left"/>
              <w:textAlignment w:val="baseline"/>
              <w:rPr>
                <w:rFonts w:ascii="宋体" w:hAnsi="宋体" w:eastAsia="宋体" w:cs="宋体"/>
                <w:sz w:val="24"/>
                <w:szCs w:val="32"/>
              </w:rPr>
            </w:pPr>
            <w:r>
              <w:rPr>
                <w:rFonts w:hint="eastAsia" w:ascii="宋体" w:hAnsi="宋体" w:eastAsia="宋体" w:cs="宋体"/>
                <w:sz w:val="24"/>
                <w:szCs w:val="32"/>
              </w:rPr>
              <w:t xml:space="preserve">□B.招投标    </w:t>
            </w:r>
          </w:p>
          <w:p>
            <w:pPr>
              <w:spacing w:line="360" w:lineRule="exact"/>
              <w:ind w:firstLine="480" w:firstLineChars="200"/>
              <w:jc w:val="left"/>
              <w:textAlignment w:val="baseline"/>
              <w:rPr>
                <w:rFonts w:ascii="宋体" w:hAnsi="宋体" w:eastAsia="宋体" w:cs="宋体"/>
                <w:sz w:val="24"/>
                <w:szCs w:val="32"/>
              </w:rPr>
            </w:pPr>
            <w:r>
              <w:rPr>
                <w:rFonts w:hint="eastAsia" w:ascii="宋体" w:hAnsi="宋体" w:eastAsia="宋体" w:cs="宋体"/>
                <w:sz w:val="24"/>
                <w:szCs w:val="32"/>
              </w:rPr>
              <w:t xml:space="preserve">□C.拍卖     </w:t>
            </w:r>
          </w:p>
          <w:p>
            <w:pPr>
              <w:spacing w:line="360" w:lineRule="exact"/>
              <w:ind w:firstLine="480" w:firstLineChars="200"/>
              <w:jc w:val="left"/>
              <w:textAlignment w:val="baseline"/>
              <w:rPr>
                <w:rFonts w:ascii="宋体" w:hAnsi="宋体" w:eastAsia="宋体" w:cs="宋体"/>
                <w:sz w:val="24"/>
                <w:szCs w:val="32"/>
              </w:rPr>
            </w:pPr>
            <w:r>
              <w:rPr>
                <w:rFonts w:hint="eastAsia" w:ascii="宋体" w:hAnsi="宋体" w:eastAsia="宋体" w:cs="宋体"/>
                <w:sz w:val="24"/>
                <w:szCs w:val="32"/>
              </w:rPr>
              <w:t>□D.其他</w:t>
            </w:r>
          </w:p>
          <w:p>
            <w:pPr>
              <w:spacing w:line="360" w:lineRule="exact"/>
              <w:textAlignment w:val="baseline"/>
              <w:rPr>
                <w:sz w:val="24"/>
                <w:szCs w:val="32"/>
              </w:rPr>
            </w:pPr>
          </w:p>
          <w:p>
            <w:pPr>
              <w:spacing w:line="360" w:lineRule="exact"/>
              <w:textAlignment w:val="baseline"/>
              <w:rPr>
                <w:sz w:val="24"/>
                <w:szCs w:val="32"/>
              </w:rPr>
            </w:pPr>
            <w:r>
              <w:rPr>
                <w:rFonts w:hint="eastAsia"/>
                <w:sz w:val="24"/>
                <w:szCs w:val="32"/>
              </w:rPr>
              <w:t>□2、动态报价</w:t>
            </w:r>
          </w:p>
          <w:p>
            <w:pPr>
              <w:spacing w:line="360" w:lineRule="exact"/>
              <w:ind w:firstLine="480" w:firstLineChars="200"/>
              <w:textAlignment w:val="baseline"/>
              <w:rPr>
                <w:sz w:val="24"/>
                <w:szCs w:val="32"/>
              </w:rPr>
            </w:pPr>
            <w:r>
              <w:rPr>
                <w:rFonts w:hint="eastAsia"/>
                <w:sz w:val="24"/>
                <w:szCs w:val="32"/>
              </w:rPr>
              <w:t>（1）自由报价期为____个工作日</w:t>
            </w:r>
          </w:p>
          <w:p>
            <w:pPr>
              <w:spacing w:line="360" w:lineRule="exact"/>
              <w:ind w:firstLine="480" w:firstLineChars="200"/>
              <w:textAlignment w:val="baseline"/>
              <w:rPr>
                <w:sz w:val="24"/>
                <w:szCs w:val="32"/>
              </w:rPr>
            </w:pPr>
            <w:r>
              <w:rPr>
                <w:rFonts w:hint="eastAsia"/>
                <w:sz w:val="24"/>
                <w:szCs w:val="32"/>
              </w:rPr>
              <w:t>（2）限时报价周期为 分钟(即  秒)</w:t>
            </w:r>
          </w:p>
          <w:p>
            <w:pPr>
              <w:spacing w:line="360" w:lineRule="exact"/>
              <w:ind w:firstLine="480" w:firstLineChars="200"/>
              <w:textAlignment w:val="baseline"/>
              <w:rPr>
                <w:sz w:val="24"/>
                <w:szCs w:val="32"/>
              </w:rPr>
            </w:pPr>
            <w:r>
              <w:rPr>
                <w:rFonts w:hint="eastAsia"/>
                <w:sz w:val="24"/>
                <w:szCs w:val="32"/>
              </w:rPr>
              <w:t>（3）加价幅度为人民币 （大写）万元（小写￥</w:t>
            </w:r>
            <w:r>
              <w:rPr>
                <w:sz w:val="24"/>
                <w:szCs w:val="32"/>
              </w:rPr>
              <w:t>）</w:t>
            </w:r>
          </w:p>
          <w:p>
            <w:pPr>
              <w:spacing w:line="360" w:lineRule="exact"/>
              <w:textAlignment w:val="baseline"/>
              <w:rPr>
                <w:sz w:val="24"/>
                <w:szCs w:val="32"/>
              </w:rPr>
            </w:pPr>
            <w:r>
              <w:rPr>
                <w:rFonts w:hint="eastAsia"/>
                <w:sz w:val="24"/>
                <w:szCs w:val="32"/>
              </w:rPr>
              <w:t>注：</w:t>
            </w:r>
            <w:r>
              <w:rPr>
                <w:rFonts w:hint="default" w:ascii="Calibri" w:hAnsi="Calibri" w:cs="Calibri"/>
                <w:sz w:val="24"/>
                <w:szCs w:val="32"/>
              </w:rPr>
              <w:t>①</w:t>
            </w:r>
            <w:r>
              <w:rPr>
                <w:rFonts w:hint="eastAsia"/>
                <w:sz w:val="24"/>
                <w:szCs w:val="32"/>
              </w:rPr>
              <w:t>、自由报价期自信息披露公告发布之时起至信息披露公告发布期满次日起第___个工作日（上午/下午）   时止；</w:t>
            </w:r>
          </w:p>
          <w:p>
            <w:pPr>
              <w:spacing w:line="360" w:lineRule="exact"/>
              <w:ind w:firstLine="480" w:firstLineChars="200"/>
              <w:textAlignment w:val="baseline"/>
              <w:rPr>
                <w:sz w:val="24"/>
                <w:szCs w:val="32"/>
              </w:rPr>
            </w:pPr>
            <w:r>
              <w:rPr>
                <w:rFonts w:hint="default" w:ascii="Calibri" w:hAnsi="Calibri" w:cs="Calibri"/>
                <w:sz w:val="24"/>
                <w:szCs w:val="32"/>
              </w:rPr>
              <w:t>②</w:t>
            </w:r>
            <w:r>
              <w:rPr>
                <w:rFonts w:hint="eastAsia"/>
                <w:sz w:val="24"/>
                <w:szCs w:val="32"/>
              </w:rPr>
              <w:t>、限时报价周期应不少于1分钟（即60秒）。</w:t>
            </w:r>
          </w:p>
          <w:p>
            <w:pPr>
              <w:spacing w:line="360" w:lineRule="exact"/>
              <w:textAlignment w:val="baseline"/>
              <w:rPr>
                <w:sz w:val="24"/>
                <w:szCs w:val="32"/>
              </w:rPr>
            </w:pPr>
            <w:r>
              <w:rPr>
                <w:rFonts w:hint="eastAsia"/>
                <w:sz w:val="24"/>
                <w:szCs w:val="32"/>
              </w:rPr>
              <w:t>□3、其他遴选方式</w:t>
            </w:r>
            <w:r>
              <w:rPr>
                <w:sz w:val="24"/>
                <w:szCs w:val="32"/>
              </w:rPr>
              <w:t>：</w:t>
            </w:r>
            <w:r>
              <w:rPr>
                <w:rFonts w:hint="eastAsia"/>
                <w:sz w:val="24"/>
                <w:szCs w:val="32"/>
              </w:rPr>
              <w:t>______</w:t>
            </w:r>
          </w:p>
        </w:tc>
      </w:tr>
    </w:tbl>
    <w:p>
      <w:pPr>
        <w:rPr>
          <w:rFonts w:hint="eastAsia"/>
        </w:rPr>
      </w:pPr>
    </w:p>
    <w:sectPr>
      <w:footerReference r:id="rId6" w:type="default"/>
      <w:footerReference r:id="rId7" w:type="even"/>
      <w:pgSz w:w="11906" w:h="16838"/>
      <w:pgMar w:top="851" w:right="1797" w:bottom="935" w:left="1797"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11</w:t>
    </w:r>
    <w:r>
      <w:rPr>
        <w:rStyle w:val="11"/>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9</w:t>
    </w:r>
    <w:r>
      <w:rPr>
        <w:rStyle w:val="11"/>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345F3"/>
    <w:multiLevelType w:val="singleLevel"/>
    <w:tmpl w:val="611345F3"/>
    <w:lvl w:ilvl="0" w:tentative="0">
      <w:start w:val="3"/>
      <w:numFmt w:val="decimal"/>
      <w:suff w:val="nothing"/>
      <w:lvlText w:val="%1）"/>
      <w:lvlJc w:val="left"/>
    </w:lvl>
  </w:abstractNum>
  <w:abstractNum w:abstractNumId="1">
    <w:nsid w:val="61775A3F"/>
    <w:multiLevelType w:val="multilevel"/>
    <w:tmpl w:val="61775A3F"/>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ZGJhNWYzZTA1MDJhNmJhMGM4OWEyZDM4Nzk3NmMifQ=="/>
  </w:docVars>
  <w:rsids>
    <w:rsidRoot w:val="00172A27"/>
    <w:rsid w:val="00055018"/>
    <w:rsid w:val="000A2358"/>
    <w:rsid w:val="00106E98"/>
    <w:rsid w:val="001106C3"/>
    <w:rsid w:val="00124EFD"/>
    <w:rsid w:val="00131394"/>
    <w:rsid w:val="001A4DB7"/>
    <w:rsid w:val="001B1CAE"/>
    <w:rsid w:val="001B38B4"/>
    <w:rsid w:val="001F6CDA"/>
    <w:rsid w:val="00217D56"/>
    <w:rsid w:val="002341F8"/>
    <w:rsid w:val="002373B8"/>
    <w:rsid w:val="00244E58"/>
    <w:rsid w:val="00296A4C"/>
    <w:rsid w:val="002E7EFF"/>
    <w:rsid w:val="002F27A0"/>
    <w:rsid w:val="00313085"/>
    <w:rsid w:val="00317C13"/>
    <w:rsid w:val="0035690E"/>
    <w:rsid w:val="00373103"/>
    <w:rsid w:val="00387F84"/>
    <w:rsid w:val="003F106D"/>
    <w:rsid w:val="004119A9"/>
    <w:rsid w:val="00496BB6"/>
    <w:rsid w:val="004F02B9"/>
    <w:rsid w:val="005D0C06"/>
    <w:rsid w:val="005F2F84"/>
    <w:rsid w:val="006A2DA9"/>
    <w:rsid w:val="006C1817"/>
    <w:rsid w:val="006F16E1"/>
    <w:rsid w:val="0078713A"/>
    <w:rsid w:val="007F0B99"/>
    <w:rsid w:val="00823F7B"/>
    <w:rsid w:val="0082653F"/>
    <w:rsid w:val="00831DFE"/>
    <w:rsid w:val="008428A4"/>
    <w:rsid w:val="008518AC"/>
    <w:rsid w:val="008C7AE1"/>
    <w:rsid w:val="008F5F32"/>
    <w:rsid w:val="0091421F"/>
    <w:rsid w:val="00937D78"/>
    <w:rsid w:val="009F193E"/>
    <w:rsid w:val="00A5561F"/>
    <w:rsid w:val="00A8301A"/>
    <w:rsid w:val="00A859F2"/>
    <w:rsid w:val="00A91C0C"/>
    <w:rsid w:val="00AE094E"/>
    <w:rsid w:val="00B365CB"/>
    <w:rsid w:val="00B96985"/>
    <w:rsid w:val="00BB56BA"/>
    <w:rsid w:val="00BB7AC4"/>
    <w:rsid w:val="00BC10F5"/>
    <w:rsid w:val="00BC218C"/>
    <w:rsid w:val="00BC7375"/>
    <w:rsid w:val="00C42E21"/>
    <w:rsid w:val="00C6660A"/>
    <w:rsid w:val="00C77533"/>
    <w:rsid w:val="00C96ADD"/>
    <w:rsid w:val="00CB3497"/>
    <w:rsid w:val="00CD0A13"/>
    <w:rsid w:val="00D43622"/>
    <w:rsid w:val="00D43FBB"/>
    <w:rsid w:val="00D5069F"/>
    <w:rsid w:val="00D83158"/>
    <w:rsid w:val="00D906D1"/>
    <w:rsid w:val="00DE5038"/>
    <w:rsid w:val="00E34376"/>
    <w:rsid w:val="00E53C04"/>
    <w:rsid w:val="00E73DAA"/>
    <w:rsid w:val="00EA24BC"/>
    <w:rsid w:val="00F01996"/>
    <w:rsid w:val="00F26789"/>
    <w:rsid w:val="00FE007F"/>
    <w:rsid w:val="0165058C"/>
    <w:rsid w:val="065E60DE"/>
    <w:rsid w:val="071C2A35"/>
    <w:rsid w:val="08B47C0F"/>
    <w:rsid w:val="0B3F0173"/>
    <w:rsid w:val="0C2D200C"/>
    <w:rsid w:val="12786986"/>
    <w:rsid w:val="193B0B2A"/>
    <w:rsid w:val="197E4A81"/>
    <w:rsid w:val="1D450926"/>
    <w:rsid w:val="1FED7BFE"/>
    <w:rsid w:val="22747454"/>
    <w:rsid w:val="29224F59"/>
    <w:rsid w:val="2A6E61CB"/>
    <w:rsid w:val="2B0D781D"/>
    <w:rsid w:val="2B11707B"/>
    <w:rsid w:val="325834D4"/>
    <w:rsid w:val="34692020"/>
    <w:rsid w:val="3BE178BA"/>
    <w:rsid w:val="3D8D101C"/>
    <w:rsid w:val="42AE0712"/>
    <w:rsid w:val="434C1AB7"/>
    <w:rsid w:val="44E51366"/>
    <w:rsid w:val="488D358F"/>
    <w:rsid w:val="4C5353B4"/>
    <w:rsid w:val="4C6267F5"/>
    <w:rsid w:val="4CA80FE3"/>
    <w:rsid w:val="4CC759FC"/>
    <w:rsid w:val="545557C4"/>
    <w:rsid w:val="55D72078"/>
    <w:rsid w:val="593D5067"/>
    <w:rsid w:val="5BA109BC"/>
    <w:rsid w:val="5BFE5E0F"/>
    <w:rsid w:val="5CE63145"/>
    <w:rsid w:val="5EC501AE"/>
    <w:rsid w:val="5EF7101F"/>
    <w:rsid w:val="63F3438F"/>
    <w:rsid w:val="67BC7A26"/>
    <w:rsid w:val="702C7F58"/>
    <w:rsid w:val="71042BEE"/>
    <w:rsid w:val="71932409"/>
    <w:rsid w:val="73637E23"/>
    <w:rsid w:val="76955F66"/>
    <w:rsid w:val="78FA0CF3"/>
    <w:rsid w:val="7EC531D7"/>
    <w:rsid w:val="7FF501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5">
    <w:name w:val="annotation text"/>
    <w:basedOn w:val="1"/>
    <w:link w:val="12"/>
    <w:qFormat/>
    <w:uiPriority w:val="0"/>
    <w:pPr>
      <w:jc w:val="left"/>
    </w:pPr>
    <w:rPr>
      <w:kern w:val="2"/>
      <w:sz w:val="21"/>
      <w:szCs w:val="24"/>
    </w:rPr>
  </w:style>
  <w:style w:type="paragraph" w:styleId="6">
    <w:name w:val="Balloon Text"/>
    <w:basedOn w:val="1"/>
    <w:link w:val="13"/>
    <w:qFormat/>
    <w:uiPriority w:val="0"/>
    <w:rPr>
      <w:kern w:val="2"/>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style>
  <w:style w:type="character" w:customStyle="1" w:styleId="12">
    <w:name w:val="批注文字 Char"/>
    <w:link w:val="5"/>
    <w:qFormat/>
    <w:uiPriority w:val="0"/>
    <w:rPr>
      <w:kern w:val="2"/>
      <w:sz w:val="21"/>
      <w:szCs w:val="24"/>
    </w:rPr>
  </w:style>
  <w:style w:type="character" w:customStyle="1" w:styleId="13">
    <w:name w:val="批注框文本 Char"/>
    <w:link w:val="6"/>
    <w:qFormat/>
    <w:uiPriority w:val="0"/>
    <w:rPr>
      <w:kern w:val="2"/>
      <w:sz w:val="18"/>
      <w:szCs w:val="18"/>
    </w:rPr>
  </w:style>
  <w:style w:type="character" w:customStyle="1" w:styleId="14">
    <w:name w:val="页脚 Char"/>
    <w:link w:val="7"/>
    <w:qFormat/>
    <w:uiPriority w:val="0"/>
    <w:rPr>
      <w:kern w:val="2"/>
      <w:sz w:val="18"/>
      <w:szCs w:val="18"/>
    </w:rPr>
  </w:style>
  <w:style w:type="character" w:customStyle="1" w:styleId="15">
    <w:name w:val="批注主题 Char"/>
    <w:link w:val="16"/>
    <w:qFormat/>
    <w:uiPriority w:val="0"/>
    <w:rPr>
      <w:b/>
      <w:bCs/>
      <w:kern w:val="2"/>
      <w:sz w:val="21"/>
      <w:szCs w:val="24"/>
    </w:rPr>
  </w:style>
  <w:style w:type="paragraph" w:customStyle="1" w:styleId="16">
    <w:name w:val="annotation subject"/>
    <w:basedOn w:val="5"/>
    <w:next w:val="5"/>
    <w:link w:val="15"/>
    <w:qFormat/>
    <w:uiPriority w:val="0"/>
    <w:rPr>
      <w:b/>
      <w:bCs/>
      <w:kern w:val="2"/>
      <w:sz w:val="21"/>
      <w:szCs w:val="24"/>
    </w:rPr>
  </w:style>
  <w:style w:type="character" w:customStyle="1" w:styleId="17">
    <w:name w:val="page number"/>
    <w:basedOn w:val="10"/>
    <w:qFormat/>
    <w:uiPriority w:val="0"/>
  </w:style>
  <w:style w:type="character" w:customStyle="1" w:styleId="18">
    <w:name w:val="annotation reference"/>
    <w:qFormat/>
    <w:uiPriority w:val="0"/>
    <w:rPr>
      <w:sz w:val="21"/>
      <w:szCs w:val="21"/>
    </w:rPr>
  </w:style>
  <w:style w:type="paragraph" w:customStyle="1" w:styleId="19">
    <w:name w:val="Normal Indent"/>
    <w:basedOn w:val="1"/>
    <w:qFormat/>
    <w:uiPriority w:val="0"/>
    <w:pPr>
      <w:ind w:firstLine="420" w:firstLineChars="200"/>
    </w:pPr>
    <w:rPr>
      <w:szCs w:val="22"/>
    </w:rPr>
  </w:style>
  <w:style w:type="paragraph" w:customStyle="1" w:styleId="20">
    <w:name w:val="列出段落1"/>
    <w:basedOn w:val="1"/>
    <w:qFormat/>
    <w:uiPriority w:val="0"/>
    <w:pPr>
      <w:ind w:firstLine="420" w:firstLineChars="200"/>
    </w:pPr>
  </w:style>
  <w:style w:type="paragraph" w:customStyle="1" w:styleId="21">
    <w:name w:val="正文表格"/>
    <w:basedOn w:val="1"/>
    <w:qFormat/>
    <w:uiPriority w:val="0"/>
    <w:pPr>
      <w:spacing w:before="60" w:beforeLines="0" w:after="60" w:afterLines="0"/>
    </w:pPr>
    <w:rPr>
      <w:sz w:val="24"/>
      <w:szCs w:val="20"/>
    </w:rPr>
  </w:style>
  <w:style w:type="paragraph" w:customStyle="1" w:styleId="22">
    <w:name w:val="汇编条款内文"/>
    <w:qFormat/>
    <w:uiPriority w:val="0"/>
    <w:pPr>
      <w:widowControl w:val="0"/>
      <w:autoSpaceDE w:val="0"/>
      <w:autoSpaceDN w:val="0"/>
      <w:adjustRightInd w:val="0"/>
      <w:spacing w:line="560" w:lineRule="exact"/>
      <w:ind w:right="28" w:firstLine="200" w:firstLineChars="200"/>
      <w:jc w:val="both"/>
    </w:pPr>
    <w:rPr>
      <w:rFonts w:ascii="宋体" w:hAnsi="宋体" w:eastAsia="宋体" w:cs="Times New Roman"/>
      <w:bCs/>
      <w:sz w:val="24"/>
      <w:szCs w:val="24"/>
      <w:lang w:val="en-US" w:eastAsia="zh-CN" w:bidi="ar-SA"/>
    </w:rPr>
  </w:style>
  <w:style w:type="paragraph" w:customStyle="1" w:styleId="23">
    <w:name w:val="样式 标题 1 + 首行缩进:  2 字符"/>
    <w:basedOn w:val="3"/>
    <w:next w:val="1"/>
    <w:qFormat/>
    <w:uiPriority w:val="0"/>
    <w:pPr>
      <w:spacing w:before="60" w:beforeLines="0" w:after="60" w:afterLines="0" w:line="240" w:lineRule="auto"/>
      <w:jc w:val="center"/>
      <w:outlineLvl w:val="9"/>
    </w:pPr>
    <w:rPr>
      <w:rFonts w:ascii="仿宋_GB2312" w:eastAsia="仿宋_GB2312"/>
      <w:b w:val="0"/>
      <w:bCs w:val="0"/>
      <w:kern w:val="2"/>
      <w:sz w:val="24"/>
      <w:szCs w:val="20"/>
    </w:rPr>
  </w:style>
  <w:style w:type="paragraph" w:customStyle="1" w:styleId="24">
    <w:name w:val="Normal (Web)"/>
    <w:basedOn w:val="1"/>
    <w:qFormat/>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990</Words>
  <Characters>5647</Characters>
  <Lines>47</Lines>
  <Paragraphs>13</Paragraphs>
  <TotalTime>4</TotalTime>
  <ScaleCrop>false</ScaleCrop>
  <LinksUpToDate>false</LinksUpToDate>
  <CharactersWithSpaces>6624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2021-02-20T07:34:00Z</dcterms:created>
  <dc:creator>user</dc:creator>
  <cp:lastModifiedBy>孟娟娟</cp:lastModifiedBy>
  <cp:lastPrinted>2023-12-05T07:39:00Z</cp:lastPrinted>
  <dcterms:modified xsi:type="dcterms:W3CDTF">2023-12-27T07:46:05Z</dcterms:modified>
  <dc:title>Lenovo</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_KSOProductBuildMID">
    <vt:lpwstr>758B5C99E49DF0F382A2A7D9E176C1E3</vt:lpwstr>
  </property>
  <property fmtid="{D5CDD505-2E9C-101B-9397-08002B2CF9AE}" pid="4" name="_KSOProductBuildSID">
    <vt:lpwstr>74E1F6AA9634F3CC92FDD2C7278A1D03</vt:lpwstr>
  </property>
  <property fmtid="{D5CDD505-2E9C-101B-9397-08002B2CF9AE}" pid="5" name="ICV">
    <vt:lpwstr>6B507528661D4F16AD735CA919856F69_13</vt:lpwstr>
  </property>
</Properties>
</file>